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bookmarkStart w:id="0" w:name="_Toc63867539"/>
      <w:r>
        <w:rPr>
          <w:rFonts w:hint="eastAsia" w:ascii="仿宋" w:hAnsi="仿宋" w:eastAsia="仿宋" w:cs="仿宋"/>
          <w:color w:val="000000" w:themeColor="text1"/>
          <w:sz w:val="32"/>
          <w:szCs w:val="32"/>
          <w:highlight w:val="none"/>
          <w:lang w:val="en-US" w:eastAsia="zh-CN"/>
          <w14:textFill>
            <w14:solidFill>
              <w14:schemeClr w14:val="tx1"/>
            </w14:solidFill>
          </w14:textFill>
        </w:rPr>
        <w:t>附件：</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pPr>
      <w:bookmarkStart w:id="202" w:name="_GoBack"/>
      <w:bookmarkEnd w:id="202"/>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厦门经济特区优化营商环境条例</w:t>
      </w:r>
    </w:p>
    <w:p>
      <w:pPr>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color w:val="000000" w:themeColor="text1"/>
          <w:sz w:val="32"/>
          <w:szCs w:val="32"/>
          <w:highlight w:val="none"/>
          <w14:textFill>
            <w14:solidFill>
              <w14:schemeClr w14:val="tx1"/>
            </w14:solidFill>
          </w14:textFill>
        </w:rPr>
      </w:pPr>
      <w:bookmarkStart w:id="1" w:name="_Toc70089985"/>
      <w:bookmarkStart w:id="2" w:name="_Toc70090113"/>
      <w:r>
        <w:rPr>
          <w:rFonts w:hint="eastAsia" w:ascii="仿宋" w:hAnsi="仿宋" w:eastAsia="仿宋" w:cs="仿宋"/>
          <w:color w:val="000000" w:themeColor="text1"/>
          <w:sz w:val="32"/>
          <w:szCs w:val="32"/>
          <w:highlight w:val="none"/>
          <w14:textFill>
            <w14:solidFill>
              <w14:schemeClr w14:val="tx1"/>
            </w14:solidFill>
          </w14:textFill>
        </w:rPr>
        <w:t>（草案</w:t>
      </w:r>
      <w:r>
        <w:rPr>
          <w:rFonts w:hint="eastAsia" w:ascii="仿宋" w:hAnsi="仿宋" w:eastAsia="仿宋" w:cs="仿宋"/>
          <w:color w:val="000000" w:themeColor="text1"/>
          <w:sz w:val="32"/>
          <w:szCs w:val="32"/>
          <w:highlight w:val="none"/>
          <w:lang w:eastAsia="zh-CN"/>
          <w14:textFill>
            <w14:solidFill>
              <w14:schemeClr w14:val="tx1"/>
            </w14:solidFill>
          </w14:textFill>
        </w:rPr>
        <w:t>征求意见</w:t>
      </w:r>
      <w:r>
        <w:rPr>
          <w:rFonts w:hint="eastAsia" w:ascii="仿宋" w:hAnsi="仿宋" w:eastAsia="仿宋" w:cs="仿宋"/>
          <w:color w:val="000000" w:themeColor="text1"/>
          <w:sz w:val="32"/>
          <w:szCs w:val="32"/>
          <w:highlight w:val="none"/>
          <w14:textFill>
            <w14:solidFill>
              <w14:schemeClr w14:val="tx1"/>
            </w14:solidFill>
          </w14:textFill>
        </w:rPr>
        <w:t>稿）</w:t>
      </w:r>
      <w:bookmarkEnd w:id="1"/>
      <w:bookmarkEnd w:id="2"/>
    </w:p>
    <w:p>
      <w:pPr>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color w:val="000000" w:themeColor="text1"/>
          <w:sz w:val="32"/>
          <w:szCs w:val="32"/>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目  录</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第一章  总则</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第二章  市场环境</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第三章  政务环境</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第四章  数字化环境</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第五章  国际化环境</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第六章  法治环境</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第七章  监管执法环境</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第八章  附</w:t>
      </w:r>
      <w:r>
        <w:rPr>
          <w:rFonts w:hint="eastAsia" w:ascii="仿宋" w:hAnsi="仿宋" w:eastAsia="仿宋" w:cs="仿宋"/>
          <w:color w:val="000000" w:themeColor="text1"/>
          <w:sz w:val="32"/>
          <w:szCs w:val="32"/>
          <w:highlight w:val="none"/>
          <w:lang w:eastAsia="zh-CN"/>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b w:val="0"/>
          <w:bCs w:val="0"/>
          <w:sz w:val="32"/>
          <w:szCs w:val="32"/>
          <w:highlight w:val="none"/>
        </w:rPr>
      </w:pPr>
      <w:bookmarkStart w:id="3" w:name="_Toc67919176"/>
      <w:bookmarkStart w:id="4" w:name="_Toc70090114"/>
      <w:r>
        <w:rPr>
          <w:rFonts w:hint="eastAsia" w:ascii="黑体" w:hAnsi="黑体" w:eastAsia="黑体" w:cs="黑体"/>
          <w:b w:val="0"/>
          <w:bCs w:val="0"/>
          <w:sz w:val="32"/>
          <w:szCs w:val="32"/>
          <w:highlight w:val="none"/>
        </w:rPr>
        <w:t>第一章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总</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则</w:t>
      </w:r>
      <w:bookmarkEnd w:id="0"/>
      <w:bookmarkEnd w:id="3"/>
      <w:bookmarkEnd w:id="4"/>
    </w:p>
    <w:p>
      <w:pPr>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3" w:firstLineChars="200"/>
        <w:jc w:val="both"/>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bookmarkStart w:id="5" w:name="_Toc63867540"/>
      <w:bookmarkStart w:id="6" w:name="_Toc70090115"/>
      <w:bookmarkStart w:id="7" w:name="_Toc67919177"/>
      <w:r>
        <w:rPr>
          <w:rFonts w:hint="eastAsia" w:ascii="仿宋" w:hAnsi="仿宋" w:eastAsia="仿宋" w:cs="仿宋"/>
          <w:b/>
          <w:bCs/>
          <w:color w:val="000000" w:themeColor="text1"/>
          <w:sz w:val="32"/>
          <w:szCs w:val="32"/>
          <w:highlight w:val="none"/>
          <w:lang w:eastAsia="zh-CN"/>
          <w14:textFill>
            <w14:solidFill>
              <w14:schemeClr w14:val="tx1"/>
            </w14:solidFill>
          </w14:textFill>
        </w:rPr>
        <w:t>第一条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立法目的</w:t>
      </w:r>
      <w:r>
        <w:rPr>
          <w:rFonts w:hint="eastAsia" w:ascii="仿宋" w:hAnsi="仿宋" w:eastAsia="仿宋" w:cs="仿宋"/>
          <w:b/>
          <w:bCs/>
          <w:color w:val="000000" w:themeColor="text1"/>
          <w:sz w:val="32"/>
          <w:szCs w:val="32"/>
          <w:highlight w:val="none"/>
          <w14:textFill>
            <w14:solidFill>
              <w14:schemeClr w14:val="tx1"/>
            </w14:solidFill>
          </w14:textFill>
        </w:rPr>
        <w:t>】</w:t>
      </w:r>
      <w:bookmarkEnd w:id="5"/>
      <w:bookmarkEnd w:id="6"/>
      <w:bookmarkEnd w:id="7"/>
      <w:r>
        <w:rPr>
          <w:rFonts w:hint="eastAsia" w:ascii="仿宋" w:hAnsi="仿宋" w:eastAsia="仿宋" w:cs="仿宋"/>
          <w:b w:val="0"/>
          <w:bCs w:val="0"/>
          <w:color w:val="000000" w:themeColor="text1"/>
          <w:sz w:val="32"/>
          <w:szCs w:val="32"/>
          <w:highlight w:val="none"/>
          <w14:textFill>
            <w14:solidFill>
              <w14:schemeClr w14:val="tx1"/>
            </w14:solidFill>
          </w14:textFill>
        </w:rPr>
        <w:t>为了持续</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优化</w:t>
      </w:r>
      <w:r>
        <w:rPr>
          <w:rFonts w:hint="eastAsia" w:ascii="仿宋" w:hAnsi="仿宋" w:eastAsia="仿宋" w:cs="仿宋"/>
          <w:b w:val="0"/>
          <w:bCs w:val="0"/>
          <w:color w:val="000000" w:themeColor="text1"/>
          <w:sz w:val="32"/>
          <w:szCs w:val="32"/>
          <w:highlight w:val="none"/>
          <w14:textFill>
            <w14:solidFill>
              <w14:schemeClr w14:val="tx1"/>
            </w14:solidFill>
          </w14:textFill>
        </w:rPr>
        <w:t>营商环境，全方位推动高质量发展超越，加快建设高素质高颜值现代化国际化城市</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遵循有关法律、行政法规的基本原则，结合厦门经济特区实际，制定本条例。</w:t>
      </w:r>
      <w:bookmarkStart w:id="8" w:name="_Toc67919178"/>
      <w:bookmarkStart w:id="9" w:name="_Toc70090116"/>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第二条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适用</w:t>
      </w:r>
      <w:r>
        <w:rPr>
          <w:rFonts w:hint="eastAsia" w:ascii="仿宋" w:hAnsi="仿宋" w:eastAsia="仿宋" w:cs="仿宋"/>
          <w:b/>
          <w:bCs/>
          <w:color w:val="000000" w:themeColor="text1"/>
          <w:sz w:val="32"/>
          <w:szCs w:val="32"/>
          <w:highlight w:val="none"/>
          <w14:textFill>
            <w14:solidFill>
              <w14:schemeClr w14:val="tx1"/>
            </w14:solidFill>
          </w14:textFill>
        </w:rPr>
        <w:t>范围】</w:t>
      </w:r>
      <w:bookmarkEnd w:id="8"/>
      <w:bookmarkEnd w:id="9"/>
      <w:r>
        <w:rPr>
          <w:rFonts w:hint="eastAsia" w:ascii="仿宋" w:hAnsi="仿宋" w:eastAsia="仿宋" w:cs="仿宋"/>
          <w:color w:val="000000" w:themeColor="text1"/>
          <w:sz w:val="32"/>
          <w:szCs w:val="32"/>
          <w:highlight w:val="none"/>
          <w14:textFill>
            <w14:solidFill>
              <w14:schemeClr w14:val="tx1"/>
            </w14:solidFill>
          </w14:textFill>
        </w:rPr>
        <w:t>厦门经济特区优化营商环境工作适用本条例。</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本条例所称营商环境，是指企业等市场主体在市场经济活动中所涉及的体制机制性因素和条件。</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0" w:name="_Toc70090117"/>
      <w:bookmarkStart w:id="11" w:name="_Toc67919179"/>
      <w:r>
        <w:rPr>
          <w:rFonts w:hint="eastAsia" w:ascii="仿宋" w:hAnsi="仿宋" w:eastAsia="仿宋" w:cs="仿宋"/>
          <w:b/>
          <w:bCs/>
          <w:color w:val="000000" w:themeColor="text1"/>
          <w:sz w:val="32"/>
          <w:szCs w:val="32"/>
          <w:highlight w:val="none"/>
          <w:lang w:eastAsia="zh-CN"/>
          <w14:textFill>
            <w14:solidFill>
              <w14:schemeClr w14:val="tx1"/>
            </w14:solidFill>
          </w14:textFill>
        </w:rPr>
        <w:t>第三条</w:t>
      </w:r>
      <w:r>
        <w:rPr>
          <w:rFonts w:hint="eastAsia" w:ascii="仿宋" w:hAnsi="仿宋" w:eastAsia="仿宋" w:cs="仿宋"/>
          <w:b/>
          <w:bCs/>
          <w:color w:val="000000" w:themeColor="text1"/>
          <w:sz w:val="32"/>
          <w:szCs w:val="32"/>
          <w:highlight w:val="none"/>
          <w14:textFill>
            <w14:solidFill>
              <w14:schemeClr w14:val="tx1"/>
            </w14:solidFill>
          </w14:textFill>
        </w:rPr>
        <w:t>【基本原则】</w:t>
      </w:r>
      <w:bookmarkEnd w:id="10"/>
      <w:bookmarkEnd w:id="11"/>
      <w:r>
        <w:rPr>
          <w:rFonts w:hint="eastAsia" w:ascii="仿宋" w:hAnsi="仿宋" w:eastAsia="仿宋" w:cs="仿宋"/>
          <w:color w:val="000000" w:themeColor="text1"/>
          <w:sz w:val="32"/>
          <w:szCs w:val="32"/>
          <w:highlight w:val="none"/>
          <w14:textFill>
            <w14:solidFill>
              <w14:schemeClr w14:val="tx1"/>
            </w14:solidFill>
          </w14:textFill>
        </w:rPr>
        <w:t>优化营商环境应当</w:t>
      </w:r>
      <w:r>
        <w:rPr>
          <w:rFonts w:hint="eastAsia" w:ascii="仿宋" w:hAnsi="仿宋" w:eastAsia="仿宋" w:cs="仿宋"/>
          <w:color w:val="000000" w:themeColor="text1"/>
          <w:sz w:val="32"/>
          <w:szCs w:val="32"/>
          <w:highlight w:val="none"/>
          <w:lang w:eastAsia="zh-CN"/>
          <w14:textFill>
            <w14:solidFill>
              <w14:schemeClr w14:val="tx1"/>
            </w14:solidFill>
          </w14:textFill>
        </w:rPr>
        <w:t>坚持市场化、法治化、国际化，</w:t>
      </w:r>
      <w:r>
        <w:rPr>
          <w:rFonts w:hint="eastAsia" w:ascii="仿宋" w:hAnsi="仿宋" w:eastAsia="仿宋" w:cs="仿宋"/>
          <w:color w:val="000000" w:themeColor="text1"/>
          <w:sz w:val="32"/>
          <w:szCs w:val="32"/>
          <w:highlight w:val="none"/>
          <w14:textFill>
            <w14:solidFill>
              <w14:schemeClr w14:val="tx1"/>
            </w14:solidFill>
          </w14:textFill>
        </w:rPr>
        <w:t>以市场主体需求为导向，以政府职能转变为核心，以数字赋能为牵引，以法治建设为保障，对标国际高标准、高水平，降低制度性交易成本，激发市场主体创新创业活力，维护市场主体合法权益，为各类市场主体投资兴业营造稳定、公平、透明、可预期的</w:t>
      </w:r>
      <w:r>
        <w:rPr>
          <w:rFonts w:hint="eastAsia" w:ascii="仿宋" w:hAnsi="仿宋" w:eastAsia="仿宋" w:cs="仿宋"/>
          <w:color w:val="000000" w:themeColor="text1"/>
          <w:sz w:val="32"/>
          <w:szCs w:val="32"/>
          <w:highlight w:val="none"/>
          <w:lang w:eastAsia="zh-CN"/>
          <w14:textFill>
            <w14:solidFill>
              <w14:schemeClr w14:val="tx1"/>
            </w14:solidFill>
          </w14:textFill>
        </w:rPr>
        <w:t>营商</w:t>
      </w:r>
      <w:r>
        <w:rPr>
          <w:rFonts w:hint="eastAsia" w:ascii="仿宋" w:hAnsi="仿宋" w:eastAsia="仿宋" w:cs="仿宋"/>
          <w:color w:val="000000" w:themeColor="text1"/>
          <w:sz w:val="32"/>
          <w:szCs w:val="32"/>
          <w:highlight w:val="none"/>
          <w14:textFill>
            <w14:solidFill>
              <w14:schemeClr w14:val="tx1"/>
            </w14:solidFill>
          </w14:textFill>
        </w:rPr>
        <w:t>环境。</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2" w:name="_Toc67919180"/>
      <w:bookmarkStart w:id="13" w:name="_Toc70090118"/>
      <w:r>
        <w:rPr>
          <w:rFonts w:hint="eastAsia" w:ascii="仿宋" w:hAnsi="仿宋" w:eastAsia="仿宋" w:cs="仿宋"/>
          <w:b/>
          <w:bCs/>
          <w:color w:val="000000" w:themeColor="text1"/>
          <w:sz w:val="32"/>
          <w:szCs w:val="32"/>
          <w:highlight w:val="none"/>
          <w:lang w:eastAsia="zh-CN"/>
          <w14:textFill>
            <w14:solidFill>
              <w14:schemeClr w14:val="tx1"/>
            </w14:solidFill>
          </w14:textFill>
        </w:rPr>
        <w:t>第四条</w:t>
      </w:r>
      <w:r>
        <w:rPr>
          <w:rFonts w:hint="eastAsia" w:ascii="仿宋" w:hAnsi="仿宋" w:eastAsia="仿宋" w:cs="仿宋"/>
          <w:b/>
          <w:bCs/>
          <w:color w:val="000000" w:themeColor="text1"/>
          <w:sz w:val="32"/>
          <w:szCs w:val="32"/>
          <w:highlight w:val="none"/>
          <w14:textFill>
            <w14:solidFill>
              <w14:schemeClr w14:val="tx1"/>
            </w14:solidFill>
          </w14:textFill>
        </w:rPr>
        <w:t>【市场主体权利与义务】</w:t>
      </w:r>
      <w:bookmarkEnd w:id="12"/>
      <w:bookmarkEnd w:id="13"/>
      <w:r>
        <w:rPr>
          <w:rFonts w:hint="eastAsia" w:ascii="仿宋" w:hAnsi="仿宋" w:eastAsia="仿宋" w:cs="仿宋"/>
          <w:color w:val="000000" w:themeColor="text1"/>
          <w:sz w:val="32"/>
          <w:szCs w:val="32"/>
          <w:highlight w:val="none"/>
          <w14:textFill>
            <w14:solidFill>
              <w14:schemeClr w14:val="tx1"/>
            </w14:solidFill>
          </w14:textFill>
        </w:rPr>
        <w:t>市场主体在市场经济活动中权利平等、机会平等、规则平等，依法享有经营自主权、财产权等合法权益，知悉法律、政策和监管、服务等情况的权利，自主加入或者退出社会组织的权利，对优化营商环境</w:t>
      </w:r>
      <w:r>
        <w:rPr>
          <w:rFonts w:hint="eastAsia" w:ascii="仿宋" w:hAnsi="仿宋" w:eastAsia="仿宋" w:cs="仿宋"/>
          <w:color w:val="000000" w:themeColor="text1"/>
          <w:sz w:val="32"/>
          <w:szCs w:val="32"/>
          <w:highlight w:val="none"/>
          <w:lang w:eastAsia="zh-CN"/>
          <w14:textFill>
            <w14:solidFill>
              <w14:schemeClr w14:val="tx1"/>
            </w14:solidFill>
          </w14:textFill>
        </w:rPr>
        <w:t>提出</w:t>
      </w:r>
      <w:r>
        <w:rPr>
          <w:rFonts w:hint="eastAsia" w:ascii="仿宋" w:hAnsi="仿宋" w:eastAsia="仿宋" w:cs="仿宋"/>
          <w:color w:val="000000" w:themeColor="text1"/>
          <w:sz w:val="32"/>
          <w:szCs w:val="32"/>
          <w:highlight w:val="none"/>
          <w14:textFill>
            <w14:solidFill>
              <w14:schemeClr w14:val="tx1"/>
            </w14:solidFill>
          </w14:textFill>
        </w:rPr>
        <w:t>建议和监督的权利。</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市场主体应当遵守法律法规，恪守社会公德和商业道德，诚实守信、公平竞争，自觉维护市场经济秩序，履行安全、质量、环境保护、劳动者权益保护、消费者权益保护等方面的法定义务</w:t>
      </w:r>
      <w:r>
        <w:rPr>
          <w:rFonts w:hint="eastAsia" w:ascii="仿宋" w:hAnsi="仿宋" w:eastAsia="仿宋" w:cs="仿宋"/>
          <w:color w:val="000000" w:themeColor="text1"/>
          <w:sz w:val="32"/>
          <w:szCs w:val="32"/>
          <w:highlight w:val="none"/>
          <w:lang w:eastAsia="zh-CN"/>
          <w14:textFill>
            <w14:solidFill>
              <w14:schemeClr w14:val="tx1"/>
            </w14:solidFill>
          </w14:textFill>
        </w:rPr>
        <w:t>，在国际经贸活动中</w:t>
      </w:r>
      <w:r>
        <w:rPr>
          <w:rFonts w:hint="eastAsia" w:ascii="仿宋" w:hAnsi="仿宋" w:eastAsia="仿宋" w:cs="仿宋"/>
          <w:color w:val="000000" w:themeColor="text1"/>
          <w:sz w:val="32"/>
          <w:szCs w:val="32"/>
          <w:highlight w:val="none"/>
          <w14:textFill>
            <w14:solidFill>
              <w14:schemeClr w14:val="tx1"/>
            </w14:solidFill>
          </w14:textFill>
        </w:rPr>
        <w:t>遵循国际通行规则。</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4" w:name="_Toc67919181"/>
      <w:bookmarkStart w:id="15" w:name="_Toc70090119"/>
      <w:r>
        <w:rPr>
          <w:rFonts w:hint="eastAsia" w:ascii="仿宋" w:hAnsi="仿宋" w:eastAsia="仿宋" w:cs="仿宋"/>
          <w:b/>
          <w:bCs/>
          <w:color w:val="000000" w:themeColor="text1"/>
          <w:sz w:val="32"/>
          <w:szCs w:val="32"/>
          <w:highlight w:val="none"/>
          <w:lang w:eastAsia="zh-CN"/>
          <w14:textFill>
            <w14:solidFill>
              <w14:schemeClr w14:val="tx1"/>
            </w14:solidFill>
          </w14:textFill>
        </w:rPr>
        <w:t>第五条</w:t>
      </w:r>
      <w:r>
        <w:rPr>
          <w:rFonts w:hint="eastAsia" w:ascii="仿宋" w:hAnsi="仿宋" w:eastAsia="仿宋" w:cs="仿宋"/>
          <w:b/>
          <w:bCs/>
          <w:color w:val="000000" w:themeColor="text1"/>
          <w:sz w:val="32"/>
          <w:szCs w:val="32"/>
          <w:highlight w:val="none"/>
          <w14:textFill>
            <w14:solidFill>
              <w14:schemeClr w14:val="tx1"/>
            </w14:solidFill>
          </w14:textFill>
        </w:rPr>
        <w:t>【责任分工】</w:t>
      </w:r>
      <w:bookmarkEnd w:id="14"/>
      <w:bookmarkEnd w:id="15"/>
      <w:r>
        <w:rPr>
          <w:rFonts w:hint="eastAsia" w:ascii="仿宋" w:hAnsi="仿宋" w:eastAsia="仿宋" w:cs="仿宋"/>
          <w:color w:val="000000" w:themeColor="text1"/>
          <w:sz w:val="32"/>
          <w:szCs w:val="32"/>
          <w:highlight w:val="none"/>
          <w14:textFill>
            <w14:solidFill>
              <w14:schemeClr w14:val="tx1"/>
            </w14:solidFill>
          </w14:textFill>
        </w:rPr>
        <w:t>市、区人民政府应当加强对优化营商环境工作的领导，建立健全优化营商环境协调工作机制，统筹推进、督促落实优化营商环境工作。政府主要负责人是优化营商环境第一责任人。</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发展改革部门</w:t>
      </w:r>
      <w:r>
        <w:rPr>
          <w:rFonts w:hint="eastAsia" w:ascii="仿宋" w:hAnsi="仿宋" w:eastAsia="仿宋" w:cs="仿宋"/>
          <w:color w:val="000000" w:themeColor="text1"/>
          <w:sz w:val="32"/>
          <w:szCs w:val="32"/>
          <w:highlight w:val="none"/>
          <w:lang w:eastAsia="zh-CN"/>
          <w14:textFill>
            <w14:solidFill>
              <w14:schemeClr w14:val="tx1"/>
            </w14:solidFill>
          </w14:textFill>
        </w:rPr>
        <w:t>是</w:t>
      </w:r>
      <w:r>
        <w:rPr>
          <w:rFonts w:hint="eastAsia" w:ascii="仿宋" w:hAnsi="仿宋" w:eastAsia="仿宋" w:cs="仿宋"/>
          <w:color w:val="000000" w:themeColor="text1"/>
          <w:sz w:val="32"/>
          <w:szCs w:val="32"/>
          <w:highlight w:val="none"/>
          <w14:textFill>
            <w14:solidFill>
              <w14:schemeClr w14:val="tx1"/>
            </w14:solidFill>
          </w14:textFill>
        </w:rPr>
        <w:t>优化营商环境工作</w:t>
      </w:r>
      <w:r>
        <w:rPr>
          <w:rFonts w:hint="eastAsia" w:ascii="仿宋" w:hAnsi="仿宋" w:eastAsia="仿宋" w:cs="仿宋"/>
          <w:color w:val="000000" w:themeColor="text1"/>
          <w:sz w:val="32"/>
          <w:szCs w:val="32"/>
          <w:highlight w:val="none"/>
          <w:lang w:eastAsia="zh-CN"/>
          <w14:textFill>
            <w14:solidFill>
              <w14:schemeClr w14:val="tx1"/>
            </w14:solidFill>
          </w14:textFill>
        </w:rPr>
        <w:t>的主管部门，具体</w:t>
      </w:r>
      <w:r>
        <w:rPr>
          <w:rFonts w:hint="eastAsia" w:ascii="仿宋" w:hAnsi="仿宋" w:eastAsia="仿宋" w:cs="仿宋"/>
          <w:color w:val="000000" w:themeColor="text1"/>
          <w:sz w:val="32"/>
          <w:szCs w:val="32"/>
          <w:highlight w:val="none"/>
          <w14:textFill>
            <w14:solidFill>
              <w14:schemeClr w14:val="tx1"/>
            </w14:solidFill>
          </w14:textFill>
        </w:rPr>
        <w:t>负责优化营商环境的</w:t>
      </w:r>
      <w:r>
        <w:rPr>
          <w:rFonts w:hint="eastAsia" w:ascii="仿宋" w:hAnsi="仿宋" w:eastAsia="仿宋" w:cs="仿宋"/>
          <w:color w:val="000000" w:themeColor="text1"/>
          <w:sz w:val="32"/>
          <w:szCs w:val="32"/>
          <w:highlight w:val="none"/>
          <w:lang w:eastAsia="zh-CN"/>
          <w14:textFill>
            <w14:solidFill>
              <w14:schemeClr w14:val="tx1"/>
            </w14:solidFill>
          </w14:textFill>
        </w:rPr>
        <w:t>协调推进、督促落实、考核评价等工作。</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有关单位应当</w:t>
      </w:r>
      <w:r>
        <w:rPr>
          <w:rFonts w:hint="eastAsia" w:ascii="仿宋" w:hAnsi="仿宋" w:eastAsia="仿宋" w:cs="仿宋"/>
          <w:color w:val="000000" w:themeColor="text1"/>
          <w:sz w:val="32"/>
          <w:szCs w:val="32"/>
          <w:highlight w:val="none"/>
          <w14:textFill>
            <w14:solidFill>
              <w14:schemeClr w14:val="tx1"/>
            </w14:solidFill>
          </w14:textFill>
        </w:rPr>
        <w:t>按照各自职责开展优化营商环境相关工作。</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6" w:name="_Toc70090121"/>
      <w:bookmarkStart w:id="17" w:name="_Toc67919183"/>
      <w:r>
        <w:rPr>
          <w:rFonts w:hint="eastAsia" w:ascii="仿宋" w:hAnsi="仿宋" w:eastAsia="仿宋" w:cs="仿宋"/>
          <w:b/>
          <w:bCs/>
          <w:color w:val="000000" w:themeColor="text1"/>
          <w:sz w:val="32"/>
          <w:szCs w:val="32"/>
          <w:highlight w:val="none"/>
          <w:lang w:eastAsia="zh-CN"/>
          <w14:textFill>
            <w14:solidFill>
              <w14:schemeClr w14:val="tx1"/>
            </w14:solidFill>
          </w14:textFill>
        </w:rPr>
        <w:t>第六条</w:t>
      </w:r>
      <w:r>
        <w:rPr>
          <w:rFonts w:hint="eastAsia" w:ascii="仿宋" w:hAnsi="仿宋" w:eastAsia="仿宋" w:cs="仿宋"/>
          <w:b/>
          <w:bCs/>
          <w:color w:val="000000" w:themeColor="text1"/>
          <w:sz w:val="32"/>
          <w:szCs w:val="32"/>
          <w:highlight w:val="none"/>
          <w14:textFill>
            <w14:solidFill>
              <w14:schemeClr w14:val="tx1"/>
            </w14:solidFill>
          </w14:textFill>
        </w:rPr>
        <w:t>【专家咨询委员会制度】</w:t>
      </w:r>
      <w:bookmarkEnd w:id="16"/>
      <w:bookmarkEnd w:id="17"/>
      <w:r>
        <w:rPr>
          <w:rFonts w:hint="eastAsia" w:ascii="仿宋" w:hAnsi="仿宋" w:eastAsia="仿宋" w:cs="仿宋"/>
          <w:color w:val="000000" w:themeColor="text1"/>
          <w:sz w:val="32"/>
          <w:szCs w:val="32"/>
          <w:highlight w:val="none"/>
          <w:lang w:eastAsia="zh-CN"/>
          <w14:textFill>
            <w14:solidFill>
              <w14:schemeClr w14:val="tx1"/>
            </w14:solidFill>
          </w14:textFill>
        </w:rPr>
        <w:t>本市设立</w:t>
      </w:r>
      <w:r>
        <w:rPr>
          <w:rFonts w:hint="eastAsia" w:ascii="仿宋" w:hAnsi="仿宋" w:eastAsia="仿宋" w:cs="仿宋"/>
          <w:color w:val="000000" w:themeColor="text1"/>
          <w:sz w:val="32"/>
          <w:szCs w:val="32"/>
          <w:highlight w:val="none"/>
          <w14:textFill>
            <w14:solidFill>
              <w14:schemeClr w14:val="tx1"/>
            </w14:solidFill>
          </w14:textFill>
        </w:rPr>
        <w:t>优化营商环境专家咨询委员会</w:t>
      </w:r>
      <w:r>
        <w:rPr>
          <w:rFonts w:hint="eastAsia" w:ascii="仿宋" w:hAnsi="仿宋" w:eastAsia="仿宋" w:cs="仿宋"/>
          <w:color w:val="000000" w:themeColor="text1"/>
          <w:sz w:val="32"/>
          <w:szCs w:val="32"/>
          <w:highlight w:val="none"/>
          <w:lang w:eastAsia="zh-CN"/>
          <w14:textFill>
            <w14:solidFill>
              <w14:schemeClr w14:val="tx1"/>
            </w14:solidFill>
          </w14:textFill>
        </w:rPr>
        <w:t>，为全市优化营商环境工</w:t>
      </w:r>
      <w:r>
        <w:rPr>
          <w:rFonts w:hint="eastAsia" w:ascii="仿宋" w:hAnsi="仿宋" w:eastAsia="仿宋" w:cs="仿宋"/>
          <w:color w:val="000000" w:themeColor="text1"/>
          <w:sz w:val="32"/>
          <w:szCs w:val="32"/>
          <w:highlight w:val="none"/>
          <w14:textFill>
            <w14:solidFill>
              <w14:schemeClr w14:val="tx1"/>
            </w14:solidFill>
          </w14:textFill>
        </w:rPr>
        <w:t>作提供咨询，</w:t>
      </w:r>
      <w:r>
        <w:rPr>
          <w:rFonts w:hint="eastAsia" w:ascii="仿宋" w:hAnsi="仿宋" w:eastAsia="仿宋" w:cs="仿宋"/>
          <w:color w:val="000000" w:themeColor="text1"/>
          <w:sz w:val="32"/>
          <w:szCs w:val="32"/>
          <w:highlight w:val="none"/>
          <w:lang w:eastAsia="zh-CN"/>
          <w14:textFill>
            <w14:solidFill>
              <w14:schemeClr w14:val="tx1"/>
            </w14:solidFill>
          </w14:textFill>
        </w:rPr>
        <w:t>研究提出优化营商环境的政策建议，推动优化营商环境精准施策。</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专家咨询委员会的组织形式和工作规程由市发展改革部门拟订，报市人民政府同意后公布实施。</w:t>
      </w:r>
    </w:p>
    <w:p>
      <w:pPr>
        <w:pageBreakBefore w:val="0"/>
        <w:widowControl w:val="0"/>
        <w:tabs>
          <w:tab w:val="left" w:pos="773"/>
        </w:tabs>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191919"/>
          <w:sz w:val="32"/>
          <w:szCs w:val="32"/>
          <w:highlight w:val="none"/>
        </w:rPr>
      </w:pPr>
      <w:bookmarkStart w:id="18" w:name="_Toc67919184"/>
      <w:bookmarkStart w:id="19" w:name="_Toc70090122"/>
      <w:r>
        <w:rPr>
          <w:rFonts w:hint="eastAsia" w:ascii="仿宋" w:hAnsi="仿宋" w:eastAsia="仿宋" w:cs="仿宋"/>
          <w:b/>
          <w:bCs/>
          <w:color w:val="000000" w:themeColor="text1"/>
          <w:sz w:val="32"/>
          <w:szCs w:val="32"/>
          <w:highlight w:val="none"/>
          <w:lang w:eastAsia="zh-CN"/>
          <w14:textFill>
            <w14:solidFill>
              <w14:schemeClr w14:val="tx1"/>
            </w14:solidFill>
          </w14:textFill>
        </w:rPr>
        <w:t>第七条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营商环境</w:t>
      </w:r>
      <w:r>
        <w:rPr>
          <w:rFonts w:hint="eastAsia" w:ascii="仿宋" w:hAnsi="仿宋" w:eastAsia="仿宋" w:cs="仿宋"/>
          <w:b/>
          <w:bCs/>
          <w:color w:val="000000" w:themeColor="text1"/>
          <w:sz w:val="32"/>
          <w:szCs w:val="32"/>
          <w:highlight w:val="none"/>
          <w14:textFill>
            <w14:solidFill>
              <w14:schemeClr w14:val="tx1"/>
            </w14:solidFill>
          </w14:textFill>
        </w:rPr>
        <w:t>体验制度和监督联系点制度】</w:t>
      </w:r>
      <w:bookmarkEnd w:id="18"/>
      <w:bookmarkEnd w:id="19"/>
      <w:r>
        <w:rPr>
          <w:rFonts w:hint="eastAsia" w:ascii="仿宋" w:hAnsi="仿宋" w:eastAsia="仿宋" w:cs="仿宋"/>
          <w:color w:val="000000" w:themeColor="text1"/>
          <w:sz w:val="32"/>
          <w:szCs w:val="32"/>
          <w:highlight w:val="none"/>
          <w14:textFill>
            <w14:solidFill>
              <w14:schemeClr w14:val="tx1"/>
            </w14:solidFill>
          </w14:textFill>
        </w:rPr>
        <w:t>探索建立营商环境体验制度</w:t>
      </w:r>
      <w:r>
        <w:rPr>
          <w:rFonts w:hint="eastAsia" w:ascii="仿宋" w:hAnsi="仿宋" w:eastAsia="仿宋" w:cs="仿宋"/>
          <w:color w:val="000000" w:themeColor="text1"/>
          <w:sz w:val="32"/>
          <w:szCs w:val="32"/>
          <w:highlight w:val="none"/>
          <w:lang w:eastAsia="zh-CN"/>
          <w14:textFill>
            <w14:solidFill>
              <w14:schemeClr w14:val="tx1"/>
            </w14:solidFill>
          </w14:textFill>
        </w:rPr>
        <w:t>。通过</w:t>
      </w:r>
      <w:r>
        <w:rPr>
          <w:rFonts w:hint="eastAsia" w:ascii="仿宋" w:hAnsi="仿宋" w:eastAsia="仿宋" w:cs="仿宋"/>
          <w:color w:val="191919"/>
          <w:sz w:val="32"/>
          <w:szCs w:val="32"/>
          <w:highlight w:val="none"/>
        </w:rPr>
        <w:t>线上线下体验，</w:t>
      </w:r>
      <w:r>
        <w:rPr>
          <w:rFonts w:hint="eastAsia" w:ascii="仿宋" w:hAnsi="仿宋" w:eastAsia="仿宋" w:cs="仿宋"/>
          <w:color w:val="191919"/>
          <w:sz w:val="32"/>
          <w:szCs w:val="32"/>
          <w:highlight w:val="none"/>
          <w:lang w:eastAsia="zh-CN"/>
        </w:rPr>
        <w:t>体验人员可以</w:t>
      </w:r>
      <w:r>
        <w:rPr>
          <w:rFonts w:hint="eastAsia" w:ascii="仿宋" w:hAnsi="仿宋" w:eastAsia="仿宋" w:cs="仿宋"/>
          <w:color w:val="191919"/>
          <w:sz w:val="32"/>
          <w:szCs w:val="32"/>
          <w:highlight w:val="none"/>
        </w:rPr>
        <w:t>提出改进审批流程、优化</w:t>
      </w:r>
      <w:r>
        <w:rPr>
          <w:rFonts w:hint="eastAsia" w:ascii="仿宋" w:hAnsi="仿宋" w:eastAsia="仿宋" w:cs="仿宋"/>
          <w:color w:val="191919"/>
          <w:sz w:val="32"/>
          <w:szCs w:val="32"/>
          <w:highlight w:val="none"/>
          <w:lang w:eastAsia="zh-CN"/>
        </w:rPr>
        <w:t>政务</w:t>
      </w:r>
      <w:r>
        <w:rPr>
          <w:rFonts w:hint="eastAsia" w:ascii="仿宋" w:hAnsi="仿宋" w:eastAsia="仿宋" w:cs="仿宋"/>
          <w:color w:val="191919"/>
          <w:sz w:val="32"/>
          <w:szCs w:val="32"/>
          <w:highlight w:val="none"/>
        </w:rPr>
        <w:t>服务等建议。</w:t>
      </w:r>
      <w:r>
        <w:rPr>
          <w:rFonts w:hint="eastAsia" w:ascii="仿宋" w:hAnsi="仿宋" w:eastAsia="仿宋" w:cs="仿宋"/>
          <w:color w:val="191919"/>
          <w:sz w:val="32"/>
          <w:szCs w:val="32"/>
          <w:highlight w:val="none"/>
          <w:lang w:eastAsia="zh-CN"/>
        </w:rPr>
        <w:t>有关部门应当采纳体验人员</w:t>
      </w:r>
      <w:r>
        <w:rPr>
          <w:rFonts w:hint="eastAsia" w:ascii="仿宋" w:hAnsi="仿宋" w:eastAsia="仿宋" w:cs="仿宋"/>
          <w:color w:val="191919"/>
          <w:sz w:val="32"/>
          <w:szCs w:val="32"/>
          <w:highlight w:val="none"/>
        </w:rPr>
        <w:t>提出的合理建议。</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191919"/>
          <w:sz w:val="32"/>
          <w:szCs w:val="32"/>
          <w:highlight w:val="none"/>
          <w:lang w:eastAsia="zh-CN"/>
        </w:rPr>
        <w:t>探索</w:t>
      </w:r>
      <w:r>
        <w:rPr>
          <w:rFonts w:hint="eastAsia" w:ascii="仿宋" w:hAnsi="仿宋" w:eastAsia="仿宋" w:cs="仿宋"/>
          <w:color w:val="191919"/>
          <w:sz w:val="32"/>
          <w:szCs w:val="32"/>
          <w:highlight w:val="none"/>
        </w:rPr>
        <w:t>建立营商环境监督联系点制度。以自愿为原则，</w:t>
      </w:r>
      <w:r>
        <w:rPr>
          <w:rFonts w:hint="eastAsia" w:ascii="仿宋" w:hAnsi="仿宋" w:eastAsia="仿宋" w:cs="仿宋"/>
          <w:color w:val="191919"/>
          <w:sz w:val="32"/>
          <w:szCs w:val="32"/>
          <w:highlight w:val="none"/>
          <w:lang w:eastAsia="zh-CN"/>
        </w:rPr>
        <w:t>在民营企业、行业</w:t>
      </w:r>
      <w:r>
        <w:rPr>
          <w:rFonts w:hint="eastAsia" w:ascii="仿宋" w:hAnsi="仿宋" w:eastAsia="仿宋" w:cs="仿宋"/>
          <w:color w:val="191919"/>
          <w:sz w:val="32"/>
          <w:szCs w:val="32"/>
          <w:highlight w:val="none"/>
        </w:rPr>
        <w:t>协会</w:t>
      </w:r>
      <w:r>
        <w:rPr>
          <w:rFonts w:hint="eastAsia" w:ascii="仿宋" w:hAnsi="仿宋" w:eastAsia="仿宋" w:cs="仿宋"/>
          <w:color w:val="191919"/>
          <w:sz w:val="32"/>
          <w:szCs w:val="32"/>
          <w:highlight w:val="none"/>
          <w:lang w:eastAsia="zh-CN"/>
        </w:rPr>
        <w:t>和商会设立</w:t>
      </w:r>
      <w:r>
        <w:rPr>
          <w:rFonts w:hint="eastAsia" w:ascii="仿宋" w:hAnsi="仿宋" w:eastAsia="仿宋" w:cs="仿宋"/>
          <w:color w:val="191919"/>
          <w:sz w:val="32"/>
          <w:szCs w:val="32"/>
          <w:highlight w:val="none"/>
        </w:rPr>
        <w:t>营商环境监督联系点</w:t>
      </w:r>
      <w:r>
        <w:rPr>
          <w:rFonts w:hint="eastAsia" w:ascii="仿宋" w:hAnsi="仿宋" w:eastAsia="仿宋" w:cs="仿宋"/>
          <w:color w:val="191919"/>
          <w:sz w:val="32"/>
          <w:szCs w:val="32"/>
          <w:highlight w:val="none"/>
          <w:lang w:eastAsia="zh-CN"/>
        </w:rPr>
        <w:t>，收集</w:t>
      </w:r>
      <w:r>
        <w:rPr>
          <w:rFonts w:hint="eastAsia" w:ascii="仿宋" w:hAnsi="仿宋" w:eastAsia="仿宋" w:cs="仿宋"/>
          <w:color w:val="191919"/>
          <w:sz w:val="32"/>
          <w:szCs w:val="32"/>
          <w:highlight w:val="none"/>
        </w:rPr>
        <w:t>有关部门在服务监管企业过程中存在的不作为、慢作为</w:t>
      </w:r>
      <w:r>
        <w:rPr>
          <w:rFonts w:hint="eastAsia" w:ascii="仿宋" w:hAnsi="仿宋" w:eastAsia="仿宋" w:cs="仿宋"/>
          <w:color w:val="191919"/>
          <w:sz w:val="32"/>
          <w:szCs w:val="32"/>
          <w:highlight w:val="none"/>
          <w:lang w:eastAsia="zh-CN"/>
        </w:rPr>
        <w:t>、乱作为</w:t>
      </w:r>
      <w:r>
        <w:rPr>
          <w:rFonts w:hint="eastAsia" w:ascii="仿宋" w:hAnsi="仿宋" w:eastAsia="仿宋" w:cs="仿宋"/>
          <w:color w:val="191919"/>
          <w:sz w:val="32"/>
          <w:szCs w:val="32"/>
          <w:highlight w:val="none"/>
        </w:rPr>
        <w:t>等问题</w:t>
      </w:r>
      <w:r>
        <w:rPr>
          <w:rFonts w:hint="eastAsia" w:ascii="仿宋" w:hAnsi="仿宋" w:eastAsia="仿宋" w:cs="仿宋"/>
          <w:color w:val="191919"/>
          <w:sz w:val="32"/>
          <w:szCs w:val="32"/>
          <w:highlight w:val="none"/>
          <w:lang w:eastAsia="zh-CN"/>
        </w:rPr>
        <w:t>，并及时进行处理</w:t>
      </w:r>
      <w:r>
        <w:rPr>
          <w:rFonts w:hint="eastAsia" w:ascii="仿宋" w:hAnsi="仿宋" w:eastAsia="仿宋" w:cs="仿宋"/>
          <w:color w:val="191919"/>
          <w:sz w:val="32"/>
          <w:szCs w:val="32"/>
          <w:highlight w:val="none"/>
        </w:rPr>
        <w:t>。</w:t>
      </w:r>
    </w:p>
    <w:p>
      <w:pPr>
        <w:pageBreakBefore w:val="0"/>
        <w:widowControl w:val="0"/>
        <w:tabs>
          <w:tab w:val="left" w:pos="445"/>
        </w:tabs>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20" w:name="_Toc67498925"/>
      <w:bookmarkEnd w:id="20"/>
      <w:bookmarkStart w:id="21" w:name="_Toc67919185"/>
      <w:bookmarkStart w:id="22" w:name="_Toc70090123"/>
      <w:r>
        <w:rPr>
          <w:rFonts w:hint="eastAsia" w:ascii="仿宋" w:hAnsi="仿宋" w:eastAsia="仿宋" w:cs="仿宋"/>
          <w:b/>
          <w:bCs/>
          <w:color w:val="000000" w:themeColor="text1"/>
          <w:sz w:val="32"/>
          <w:szCs w:val="32"/>
          <w:highlight w:val="none"/>
          <w:lang w:eastAsia="zh-CN"/>
          <w14:textFill>
            <w14:solidFill>
              <w14:schemeClr w14:val="tx1"/>
            </w14:solidFill>
          </w14:textFill>
        </w:rPr>
        <w:t>第八条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营商环境评价</w:t>
      </w:r>
      <w:r>
        <w:rPr>
          <w:rFonts w:hint="eastAsia" w:ascii="仿宋" w:hAnsi="仿宋" w:eastAsia="仿宋" w:cs="仿宋"/>
          <w:b/>
          <w:bCs/>
          <w:color w:val="000000" w:themeColor="text1"/>
          <w:sz w:val="32"/>
          <w:szCs w:val="32"/>
          <w:highlight w:val="none"/>
          <w14:textFill>
            <w14:solidFill>
              <w14:schemeClr w14:val="tx1"/>
            </w14:solidFill>
          </w14:textFill>
        </w:rPr>
        <w:t>】</w:t>
      </w:r>
      <w:bookmarkEnd w:id="21"/>
      <w:bookmarkEnd w:id="22"/>
      <w:r>
        <w:rPr>
          <w:rFonts w:hint="eastAsia" w:ascii="仿宋" w:hAnsi="仿宋" w:eastAsia="仿宋" w:cs="仿宋"/>
          <w:color w:val="000000" w:themeColor="text1"/>
          <w:sz w:val="32"/>
          <w:szCs w:val="32"/>
          <w:highlight w:val="none"/>
          <w14:textFill>
            <w14:solidFill>
              <w14:schemeClr w14:val="tx1"/>
            </w14:solidFill>
          </w14:textFill>
        </w:rPr>
        <w:t>建立和完善营商环境评价制度，</w:t>
      </w:r>
      <w:r>
        <w:rPr>
          <w:rFonts w:hint="eastAsia" w:ascii="仿宋" w:hAnsi="仿宋" w:eastAsia="仿宋" w:cs="仿宋"/>
          <w:color w:val="000000" w:themeColor="text1"/>
          <w:sz w:val="32"/>
          <w:szCs w:val="32"/>
          <w:highlight w:val="none"/>
          <w:lang w:eastAsia="zh-CN"/>
          <w14:textFill>
            <w14:solidFill>
              <w14:schemeClr w14:val="tx1"/>
            </w14:solidFill>
          </w14:textFill>
        </w:rPr>
        <w:t>引入第三方评价机制，</w:t>
      </w:r>
      <w:r>
        <w:rPr>
          <w:rFonts w:hint="eastAsia" w:ascii="仿宋" w:hAnsi="仿宋" w:eastAsia="仿宋" w:cs="仿宋"/>
          <w:color w:val="000000" w:themeColor="text1"/>
          <w:sz w:val="32"/>
          <w:szCs w:val="32"/>
          <w:highlight w:val="none"/>
          <w14:textFill>
            <w14:solidFill>
              <w14:schemeClr w14:val="tx1"/>
            </w14:solidFill>
          </w14:textFill>
        </w:rPr>
        <w:t>根据国家、省</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市营商环境评价结果，及时调整完善优化营商环境的政策措施。</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开展营商环境评价，不得影响相关单位的正常工作，不得影响市场主体的正常生产经营活动或者增加市场主体负担。</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任何单位不得利用营商环境评价谋取利益。</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23" w:name="_Toc67919186"/>
      <w:bookmarkStart w:id="24" w:name="_Toc70090124"/>
      <w:r>
        <w:rPr>
          <w:rFonts w:hint="eastAsia" w:ascii="仿宋" w:hAnsi="仿宋" w:eastAsia="仿宋" w:cs="仿宋"/>
          <w:b/>
          <w:bCs/>
          <w:color w:val="000000" w:themeColor="text1"/>
          <w:sz w:val="32"/>
          <w:szCs w:val="32"/>
          <w:highlight w:val="none"/>
          <w:lang w:eastAsia="zh-CN"/>
          <w14:textFill>
            <w14:solidFill>
              <w14:schemeClr w14:val="tx1"/>
            </w14:solidFill>
          </w14:textFill>
        </w:rPr>
        <w:t>第九条</w:t>
      </w:r>
      <w:r>
        <w:rPr>
          <w:rFonts w:hint="eastAsia" w:ascii="仿宋" w:hAnsi="仿宋" w:eastAsia="仿宋" w:cs="仿宋"/>
          <w:b/>
          <w:bCs/>
          <w:color w:val="000000" w:themeColor="text1"/>
          <w:sz w:val="32"/>
          <w:szCs w:val="32"/>
          <w:highlight w:val="none"/>
          <w14:textFill>
            <w14:solidFill>
              <w14:schemeClr w14:val="tx1"/>
            </w14:solidFill>
          </w14:textFill>
        </w:rPr>
        <w:t>【考核督察机制】</w:t>
      </w:r>
      <w:bookmarkEnd w:id="23"/>
      <w:bookmarkEnd w:id="24"/>
      <w:r>
        <w:rPr>
          <w:rFonts w:hint="eastAsia" w:ascii="仿宋" w:hAnsi="仿宋" w:eastAsia="仿宋" w:cs="仿宋"/>
          <w:color w:val="000000" w:themeColor="text1"/>
          <w:sz w:val="32"/>
          <w:szCs w:val="32"/>
          <w:highlight w:val="none"/>
          <w14:textFill>
            <w14:solidFill>
              <w14:schemeClr w14:val="tx1"/>
            </w14:solidFill>
          </w14:textFill>
        </w:rPr>
        <w:t>市、区人民政府应当健全优化营商环境工作激励和绩效</w:t>
      </w:r>
      <w:r>
        <w:rPr>
          <w:rFonts w:hint="eastAsia" w:ascii="仿宋" w:hAnsi="仿宋" w:eastAsia="仿宋" w:cs="仿宋"/>
          <w:color w:val="000000" w:themeColor="text1"/>
          <w:sz w:val="32"/>
          <w:szCs w:val="32"/>
          <w:highlight w:val="none"/>
          <w:lang w:eastAsia="zh-CN"/>
          <w14:textFill>
            <w14:solidFill>
              <w14:schemeClr w14:val="tx1"/>
            </w14:solidFill>
          </w14:textFill>
        </w:rPr>
        <w:t>考核</w:t>
      </w:r>
      <w:r>
        <w:rPr>
          <w:rFonts w:hint="eastAsia" w:ascii="仿宋" w:hAnsi="仿宋" w:eastAsia="仿宋" w:cs="仿宋"/>
          <w:color w:val="000000" w:themeColor="text1"/>
          <w:sz w:val="32"/>
          <w:szCs w:val="32"/>
          <w:highlight w:val="none"/>
          <w14:textFill>
            <w14:solidFill>
              <w14:schemeClr w14:val="tx1"/>
            </w14:solidFill>
          </w14:textFill>
        </w:rPr>
        <w:t>机制，完善考核标准，对工作成效显著</w:t>
      </w:r>
      <w:r>
        <w:rPr>
          <w:rFonts w:hint="eastAsia" w:ascii="仿宋" w:hAnsi="仿宋" w:eastAsia="仿宋" w:cs="仿宋"/>
          <w:color w:val="000000" w:themeColor="text1"/>
          <w:sz w:val="32"/>
          <w:szCs w:val="32"/>
          <w:highlight w:val="none"/>
          <w:lang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单位按照规定给予表彰，对不作为、</w:t>
      </w:r>
      <w:r>
        <w:rPr>
          <w:rFonts w:hint="eastAsia" w:ascii="仿宋" w:hAnsi="仿宋" w:eastAsia="仿宋" w:cs="仿宋"/>
          <w:color w:val="000000" w:themeColor="text1"/>
          <w:sz w:val="32"/>
          <w:szCs w:val="32"/>
          <w:highlight w:val="none"/>
          <w:lang w:eastAsia="zh-CN"/>
          <w14:textFill>
            <w14:solidFill>
              <w14:schemeClr w14:val="tx1"/>
            </w14:solidFill>
          </w14:textFill>
        </w:rPr>
        <w:t>慢作为、</w:t>
      </w:r>
      <w:r>
        <w:rPr>
          <w:rFonts w:hint="eastAsia" w:ascii="仿宋" w:hAnsi="仿宋" w:eastAsia="仿宋" w:cs="仿宋"/>
          <w:color w:val="000000" w:themeColor="text1"/>
          <w:sz w:val="32"/>
          <w:szCs w:val="32"/>
          <w:highlight w:val="none"/>
          <w14:textFill>
            <w14:solidFill>
              <w14:schemeClr w14:val="tx1"/>
            </w14:solidFill>
          </w14:textFill>
        </w:rPr>
        <w:t>乱作为等延误工作的单位予以问责。</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市、区人民政府及有关部门应当通过专项督察、日常督导、社会公众监督等方式加强对优化营商环境工作的监督检查。</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25" w:name="_Toc70090125"/>
      <w:bookmarkStart w:id="26" w:name="_Toc67919187"/>
      <w:r>
        <w:rPr>
          <w:rFonts w:hint="eastAsia" w:ascii="仿宋" w:hAnsi="仿宋" w:eastAsia="仿宋" w:cs="仿宋"/>
          <w:b/>
          <w:bCs/>
          <w:color w:val="000000" w:themeColor="text1"/>
          <w:sz w:val="32"/>
          <w:szCs w:val="32"/>
          <w:highlight w:val="none"/>
          <w:lang w:eastAsia="zh-CN"/>
          <w14:textFill>
            <w14:solidFill>
              <w14:schemeClr w14:val="tx1"/>
            </w14:solidFill>
          </w14:textFill>
        </w:rPr>
        <w:t>第十条</w:t>
      </w:r>
      <w:r>
        <w:rPr>
          <w:rFonts w:hint="eastAsia" w:ascii="仿宋" w:hAnsi="仿宋" w:eastAsia="仿宋" w:cs="仿宋"/>
          <w:b/>
          <w:bCs/>
          <w:color w:val="000000" w:themeColor="text1"/>
          <w:sz w:val="32"/>
          <w:szCs w:val="32"/>
          <w:highlight w:val="none"/>
          <w14:textFill>
            <w14:solidFill>
              <w14:schemeClr w14:val="tx1"/>
            </w14:solidFill>
          </w14:textFill>
        </w:rPr>
        <w:t>【容错机制】</w:t>
      </w:r>
      <w:bookmarkEnd w:id="25"/>
      <w:bookmarkEnd w:id="26"/>
      <w:r>
        <w:rPr>
          <w:rFonts w:hint="eastAsia" w:ascii="仿宋" w:hAnsi="仿宋" w:eastAsia="仿宋" w:cs="仿宋"/>
          <w:color w:val="000000" w:themeColor="text1"/>
          <w:sz w:val="32"/>
          <w:szCs w:val="32"/>
          <w:highlight w:val="none"/>
          <w14:textFill>
            <w14:solidFill>
              <w14:schemeClr w14:val="tx1"/>
            </w14:solidFill>
          </w14:textFill>
        </w:rPr>
        <w:t>鼓励和支持市、区人民政府及有关部门结合实际情况，在法治框架内积极探索前瞻性、原创性、差异化的优化</w:t>
      </w:r>
      <w:r>
        <w:rPr>
          <w:rStyle w:val="45"/>
          <w:rFonts w:hint="eastAsia" w:ascii="仿宋" w:hAnsi="仿宋" w:eastAsia="仿宋" w:cs="仿宋"/>
          <w:color w:val="000000" w:themeColor="text1"/>
          <w:sz w:val="32"/>
          <w:szCs w:val="32"/>
          <w:highlight w:val="none"/>
          <w14:textFill>
            <w14:solidFill>
              <w14:schemeClr w14:val="tx1"/>
            </w14:solidFill>
          </w14:textFill>
        </w:rPr>
        <w:t>营商环境</w:t>
      </w:r>
      <w:r>
        <w:rPr>
          <w:rFonts w:hint="eastAsia" w:ascii="仿宋" w:hAnsi="仿宋" w:eastAsia="仿宋" w:cs="仿宋"/>
          <w:color w:val="000000" w:themeColor="text1"/>
          <w:sz w:val="32"/>
          <w:szCs w:val="32"/>
          <w:highlight w:val="none"/>
          <w14:textFill>
            <w14:solidFill>
              <w14:schemeClr w14:val="tx1"/>
            </w14:solidFill>
          </w14:textFill>
        </w:rPr>
        <w:t>具体措施。</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有关单位和个人在营商环境改革创新工作中出现失误或者偏差，未达到预期效果，但同时符合以下条件的，</w:t>
      </w:r>
      <w:r>
        <w:rPr>
          <w:rFonts w:hint="eastAsia" w:ascii="仿宋" w:hAnsi="仿宋" w:eastAsia="仿宋" w:cs="仿宋"/>
          <w:color w:val="000000" w:themeColor="text1"/>
          <w:sz w:val="32"/>
          <w:szCs w:val="32"/>
          <w:highlight w:val="none"/>
          <w:lang w:eastAsia="zh-CN"/>
          <w14:textFill>
            <w14:solidFill>
              <w14:schemeClr w14:val="tx1"/>
            </w14:solidFill>
          </w14:textFill>
        </w:rPr>
        <w:t>可以从轻、减轻处理或者</w:t>
      </w:r>
      <w:r>
        <w:rPr>
          <w:rFonts w:hint="eastAsia" w:ascii="仿宋" w:hAnsi="仿宋" w:eastAsia="仿宋" w:cs="仿宋"/>
          <w:color w:val="000000" w:themeColor="text1"/>
          <w:sz w:val="32"/>
          <w:szCs w:val="32"/>
          <w:highlight w:val="none"/>
          <w14:textFill>
            <w14:solidFill>
              <w14:schemeClr w14:val="tx1"/>
            </w14:solidFill>
          </w14:textFill>
        </w:rPr>
        <w:t>免于追究责任：</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㈠决策和实施程序未违反法律、法规</w:t>
      </w:r>
      <w:r>
        <w:rPr>
          <w:rFonts w:hint="eastAsia" w:ascii="仿宋" w:hAnsi="仿宋" w:eastAsia="仿宋" w:cs="仿宋"/>
          <w:color w:val="000000" w:themeColor="text1"/>
          <w:sz w:val="32"/>
          <w:szCs w:val="32"/>
          <w:highlight w:val="none"/>
          <w:lang w:eastAsia="zh-CN"/>
          <w14:textFill>
            <w14:solidFill>
              <w14:schemeClr w14:val="tx1"/>
            </w14:solidFill>
          </w14:textFill>
        </w:rPr>
        <w:t>、规章</w:t>
      </w:r>
      <w:r>
        <w:rPr>
          <w:rFonts w:hint="eastAsia" w:ascii="仿宋" w:hAnsi="仿宋" w:eastAsia="仿宋" w:cs="仿宋"/>
          <w:color w:val="000000" w:themeColor="text1"/>
          <w:sz w:val="32"/>
          <w:szCs w:val="32"/>
          <w:highlight w:val="none"/>
          <w14:textFill>
            <w14:solidFill>
              <w14:schemeClr w14:val="tx1"/>
            </w14:solidFill>
          </w14:textFill>
        </w:rPr>
        <w:t>的强制性规定；</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㈡未造成重大损失和社会负面影响；</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㈢相关人员履行了勤勉尽责义务且未谋取非法利益；</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㈣未恶意串通损害公共利益和他人合法权益。</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27" w:name="_Toc70090128"/>
      <w:bookmarkStart w:id="28" w:name="_Toc67919190"/>
      <w:r>
        <w:rPr>
          <w:rFonts w:hint="eastAsia" w:ascii="仿宋" w:hAnsi="仿宋" w:eastAsia="仿宋" w:cs="仿宋"/>
          <w:b/>
          <w:bCs/>
          <w:color w:val="000000" w:themeColor="text1"/>
          <w:sz w:val="32"/>
          <w:szCs w:val="32"/>
          <w:highlight w:val="none"/>
          <w:lang w:eastAsia="zh-CN"/>
          <w14:textFill>
            <w14:solidFill>
              <w14:schemeClr w14:val="tx1"/>
            </w14:solidFill>
          </w14:textFill>
        </w:rPr>
        <w:t>第十一条</w:t>
      </w:r>
      <w:r>
        <w:rPr>
          <w:rFonts w:hint="eastAsia" w:ascii="仿宋" w:hAnsi="仿宋" w:eastAsia="仿宋" w:cs="仿宋"/>
          <w:b/>
          <w:bCs/>
          <w:color w:val="000000" w:themeColor="text1"/>
          <w:sz w:val="32"/>
          <w:szCs w:val="32"/>
          <w:highlight w:val="none"/>
          <w14:textFill>
            <w14:solidFill>
              <w14:schemeClr w14:val="tx1"/>
            </w14:solidFill>
          </w14:textFill>
        </w:rPr>
        <w:t>【区域协作】</w:t>
      </w:r>
      <w:bookmarkEnd w:id="27"/>
      <w:bookmarkEnd w:id="28"/>
      <w:r>
        <w:rPr>
          <w:rFonts w:hint="eastAsia" w:ascii="仿宋" w:hAnsi="仿宋" w:eastAsia="仿宋" w:cs="仿宋"/>
          <w:color w:val="000000" w:themeColor="text1"/>
          <w:sz w:val="32"/>
          <w:szCs w:val="32"/>
          <w:highlight w:val="none"/>
          <w14:textFill>
            <w14:solidFill>
              <w14:schemeClr w14:val="tx1"/>
            </w14:solidFill>
          </w14:textFill>
        </w:rPr>
        <w:t>市人民政府应当立足于闽西南</w:t>
      </w:r>
      <w:r>
        <w:rPr>
          <w:rFonts w:hint="eastAsia" w:ascii="仿宋" w:hAnsi="仿宋" w:eastAsia="仿宋" w:cs="仿宋"/>
          <w:color w:val="000000" w:themeColor="text1"/>
          <w:sz w:val="32"/>
          <w:szCs w:val="32"/>
          <w:highlight w:val="none"/>
          <w:lang w:eastAsia="zh-CN"/>
          <w14:textFill>
            <w14:solidFill>
              <w14:schemeClr w14:val="tx1"/>
            </w14:solidFill>
          </w14:textFill>
        </w:rPr>
        <w:t>龙头</w:t>
      </w:r>
      <w:r>
        <w:rPr>
          <w:rFonts w:hint="eastAsia" w:ascii="仿宋" w:hAnsi="仿宋" w:eastAsia="仿宋" w:cs="仿宋"/>
          <w:color w:val="000000" w:themeColor="text1"/>
          <w:sz w:val="32"/>
          <w:szCs w:val="32"/>
          <w:highlight w:val="none"/>
          <w14:textFill>
            <w14:solidFill>
              <w14:schemeClr w14:val="tx1"/>
            </w14:solidFill>
          </w14:textFill>
        </w:rPr>
        <w:t>城市的功能定位，推动</w:t>
      </w:r>
      <w:r>
        <w:rPr>
          <w:rFonts w:hint="eastAsia" w:ascii="仿宋" w:hAnsi="仿宋" w:eastAsia="仿宋" w:cs="仿宋"/>
          <w:color w:val="000000" w:themeColor="text1"/>
          <w:sz w:val="32"/>
          <w:szCs w:val="32"/>
          <w:highlight w:val="none"/>
          <w:lang w:eastAsia="zh-CN"/>
          <w14:textFill>
            <w14:solidFill>
              <w14:schemeClr w14:val="tx1"/>
            </w14:solidFill>
          </w14:textFill>
        </w:rPr>
        <w:t>厦漳泉都市圈和</w:t>
      </w:r>
      <w:r>
        <w:rPr>
          <w:rFonts w:hint="eastAsia" w:ascii="仿宋" w:hAnsi="仿宋" w:eastAsia="仿宋" w:cs="仿宋"/>
          <w:color w:val="000000" w:themeColor="text1"/>
          <w:sz w:val="32"/>
          <w:szCs w:val="32"/>
          <w:highlight w:val="none"/>
          <w14:textFill>
            <w14:solidFill>
              <w14:schemeClr w14:val="tx1"/>
            </w14:solidFill>
          </w14:textFill>
        </w:rPr>
        <w:t>闽西南</w:t>
      </w:r>
      <w:r>
        <w:rPr>
          <w:rFonts w:hint="eastAsia" w:ascii="仿宋" w:hAnsi="仿宋" w:eastAsia="仿宋" w:cs="仿宋"/>
          <w:color w:val="000000" w:themeColor="text1"/>
          <w:sz w:val="32"/>
          <w:szCs w:val="32"/>
          <w:highlight w:val="none"/>
          <w:lang w:eastAsia="zh-CN"/>
          <w14:textFill>
            <w14:solidFill>
              <w14:schemeClr w14:val="tx1"/>
            </w14:solidFill>
          </w14:textFill>
        </w:rPr>
        <w:t>协同发展区</w:t>
      </w:r>
      <w:r>
        <w:rPr>
          <w:rFonts w:hint="eastAsia" w:ascii="仿宋" w:hAnsi="仿宋" w:eastAsia="仿宋" w:cs="仿宋"/>
          <w:color w:val="000000" w:themeColor="text1"/>
          <w:sz w:val="32"/>
          <w:szCs w:val="32"/>
          <w:highlight w:val="none"/>
          <w14:textFill>
            <w14:solidFill>
              <w14:schemeClr w14:val="tx1"/>
            </w14:solidFill>
          </w14:textFill>
        </w:rPr>
        <w:t>建设，建立跨区域产业合作创新平台和产业技术联盟，推动生产要素集聚，完善产业协同创新，形成要素自由流动的统一开放市场。</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29" w:name="_Toc70090129"/>
      <w:bookmarkStart w:id="30" w:name="_Toc67919191"/>
      <w:r>
        <w:rPr>
          <w:rFonts w:hint="eastAsia" w:ascii="仿宋" w:hAnsi="仿宋" w:eastAsia="仿宋" w:cs="仿宋"/>
          <w:b/>
          <w:bCs/>
          <w:color w:val="000000" w:themeColor="text1"/>
          <w:sz w:val="32"/>
          <w:szCs w:val="32"/>
          <w:highlight w:val="none"/>
          <w:lang w:eastAsia="zh-CN"/>
          <w14:textFill>
            <w14:solidFill>
              <w14:schemeClr w14:val="tx1"/>
            </w14:solidFill>
          </w14:textFill>
        </w:rPr>
        <w:t>第十二条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氛围建设</w:t>
      </w:r>
      <w:r>
        <w:rPr>
          <w:rFonts w:hint="eastAsia" w:ascii="仿宋" w:hAnsi="仿宋" w:eastAsia="仿宋" w:cs="仿宋"/>
          <w:b/>
          <w:bCs/>
          <w:color w:val="000000" w:themeColor="text1"/>
          <w:sz w:val="32"/>
          <w:szCs w:val="32"/>
          <w:highlight w:val="none"/>
          <w14:textFill>
            <w14:solidFill>
              <w14:schemeClr w14:val="tx1"/>
            </w14:solidFill>
          </w14:textFill>
        </w:rPr>
        <w:t>】</w:t>
      </w:r>
      <w:bookmarkEnd w:id="29"/>
      <w:bookmarkEnd w:id="30"/>
      <w:r>
        <w:rPr>
          <w:rFonts w:hint="eastAsia" w:ascii="仿宋" w:hAnsi="仿宋" w:eastAsia="仿宋" w:cs="仿宋"/>
          <w:color w:val="000000" w:themeColor="text1"/>
          <w:sz w:val="32"/>
          <w:szCs w:val="32"/>
          <w:highlight w:val="none"/>
          <w:lang w:eastAsia="zh-CN"/>
          <w14:textFill>
            <w14:solidFill>
              <w14:schemeClr w14:val="tx1"/>
            </w14:solidFill>
          </w14:textFill>
        </w:rPr>
        <w:t>各级</w:t>
      </w:r>
      <w:r>
        <w:rPr>
          <w:rFonts w:hint="eastAsia" w:ascii="仿宋" w:hAnsi="仿宋" w:eastAsia="仿宋" w:cs="仿宋"/>
          <w:color w:val="000000" w:themeColor="text1"/>
          <w:sz w:val="32"/>
          <w:szCs w:val="32"/>
          <w:highlight w:val="none"/>
          <w14:textFill>
            <w14:solidFill>
              <w14:schemeClr w14:val="tx1"/>
            </w14:solidFill>
          </w14:textFill>
        </w:rPr>
        <w:t>人民政府</w:t>
      </w:r>
      <w:r>
        <w:rPr>
          <w:rFonts w:hint="eastAsia" w:ascii="仿宋" w:hAnsi="仿宋" w:eastAsia="仿宋" w:cs="仿宋"/>
          <w:color w:val="000000" w:themeColor="text1"/>
          <w:sz w:val="32"/>
          <w:szCs w:val="32"/>
          <w:highlight w:val="none"/>
          <w:lang w:eastAsia="zh-CN"/>
          <w14:textFill>
            <w14:solidFill>
              <w14:schemeClr w14:val="tx1"/>
            </w14:solidFill>
          </w14:textFill>
        </w:rPr>
        <w:t>应当通过官网、微信公众号和报刊、广播电视等媒介听取市场主体意见、建议，宣传优化营商环境工作的政策措施和经验成果，营造优化营商环境良好氛围。</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新闻媒体应当及时、准确宣传优化营商环境的措施和成效，推广典型经验，营造开放包容、互利合作、诚实守信、重商护商的社会氛围。</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每年9月8日为“厦门营商环境日”</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b w:val="0"/>
          <w:bCs w:val="0"/>
          <w:sz w:val="32"/>
          <w:szCs w:val="32"/>
          <w:highlight w:val="none"/>
        </w:rPr>
      </w:pPr>
      <w:bookmarkStart w:id="31" w:name="_Toc67919192"/>
      <w:bookmarkStart w:id="32" w:name="_Toc70090130"/>
      <w:r>
        <w:rPr>
          <w:rFonts w:hint="eastAsia" w:ascii="黑体" w:hAnsi="黑体" w:eastAsia="黑体" w:cs="黑体"/>
          <w:b w:val="0"/>
          <w:bCs w:val="0"/>
          <w:sz w:val="32"/>
          <w:szCs w:val="32"/>
          <w:highlight w:val="none"/>
        </w:rPr>
        <w:t>第二章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市场环境</w:t>
      </w:r>
      <w:bookmarkEnd w:id="31"/>
      <w:bookmarkEnd w:id="32"/>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33" w:name="_Toc67919193"/>
      <w:bookmarkStart w:id="34" w:name="_Toc70090131"/>
      <w:r>
        <w:rPr>
          <w:rFonts w:hint="eastAsia" w:ascii="仿宋" w:hAnsi="仿宋" w:eastAsia="仿宋" w:cs="仿宋"/>
          <w:b/>
          <w:bCs/>
          <w:color w:val="000000" w:themeColor="text1"/>
          <w:sz w:val="32"/>
          <w:szCs w:val="32"/>
          <w:highlight w:val="none"/>
          <w:lang w:eastAsia="zh-CN"/>
          <w14:textFill>
            <w14:solidFill>
              <w14:schemeClr w14:val="tx1"/>
            </w14:solidFill>
          </w14:textFill>
        </w:rPr>
        <w:t>第十三条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市场建设</w:t>
      </w:r>
      <w:r>
        <w:rPr>
          <w:rFonts w:hint="eastAsia" w:ascii="仿宋" w:hAnsi="仿宋" w:eastAsia="仿宋" w:cs="仿宋"/>
          <w:b/>
          <w:bCs/>
          <w:color w:val="000000" w:themeColor="text1"/>
          <w:sz w:val="32"/>
          <w:szCs w:val="32"/>
          <w:highlight w:val="none"/>
          <w14:textFill>
            <w14:solidFill>
              <w14:schemeClr w14:val="tx1"/>
            </w14:solidFill>
          </w14:textFill>
        </w:rPr>
        <w:t>】</w:t>
      </w:r>
      <w:bookmarkEnd w:id="33"/>
      <w:bookmarkEnd w:id="34"/>
      <w:r>
        <w:rPr>
          <w:rFonts w:hint="eastAsia" w:ascii="仿宋" w:hAnsi="仿宋" w:eastAsia="仿宋" w:cs="仿宋"/>
          <w:color w:val="000000" w:themeColor="text1"/>
          <w:sz w:val="32"/>
          <w:szCs w:val="32"/>
          <w:highlight w:val="none"/>
          <w:lang w:eastAsia="zh-CN"/>
          <w14:textFill>
            <w14:solidFill>
              <w14:schemeClr w14:val="tx1"/>
            </w14:solidFill>
          </w14:textFill>
        </w:rPr>
        <w:t>本市</w:t>
      </w:r>
      <w:r>
        <w:rPr>
          <w:rFonts w:hint="eastAsia" w:ascii="仿宋" w:hAnsi="仿宋" w:eastAsia="仿宋" w:cs="仿宋"/>
          <w:color w:val="000000" w:themeColor="text1"/>
          <w:sz w:val="32"/>
          <w:szCs w:val="32"/>
          <w:highlight w:val="none"/>
          <w14:textFill>
            <w14:solidFill>
              <w14:schemeClr w14:val="tx1"/>
            </w14:solidFill>
          </w14:textFill>
        </w:rPr>
        <w:t>构建覆盖企业全生命周期的服务体系，在企业开办、融资信贷、企业退出等方面持续优化营商环境</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本市推动传统产业的转型升级，推进前沿产业、新兴产业发展，加强产业链整体培育，推动产业集群健康发展。</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市、区人民政府</w:t>
      </w:r>
      <w:r>
        <w:rPr>
          <w:rFonts w:hint="eastAsia" w:ascii="仿宋" w:hAnsi="仿宋" w:eastAsia="仿宋" w:cs="仿宋"/>
          <w:color w:val="000000" w:themeColor="text1"/>
          <w:sz w:val="32"/>
          <w:szCs w:val="32"/>
          <w:highlight w:val="none"/>
          <w:lang w:eastAsia="zh-CN"/>
          <w14:textFill>
            <w14:solidFill>
              <w14:schemeClr w14:val="tx1"/>
            </w14:solidFill>
          </w14:textFill>
        </w:rPr>
        <w:t>及有关部门应当推进土地、人力资源、资金、技术、数据资源等要素市场化改革，健全要素市场运行机制，完善要素交易规则和服务体系，促进要素自主有序流动，提高要素配置效率。</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35" w:name="_Toc67919194"/>
      <w:bookmarkStart w:id="36" w:name="_Toc70090132"/>
      <w:r>
        <w:rPr>
          <w:rFonts w:hint="eastAsia" w:ascii="仿宋" w:hAnsi="仿宋" w:eastAsia="仿宋" w:cs="仿宋"/>
          <w:b/>
          <w:bCs/>
          <w:color w:val="000000" w:themeColor="text1"/>
          <w:sz w:val="32"/>
          <w:szCs w:val="32"/>
          <w:highlight w:val="none"/>
          <w:lang w:eastAsia="zh-CN"/>
          <w14:textFill>
            <w14:solidFill>
              <w14:schemeClr w14:val="tx1"/>
            </w14:solidFill>
          </w14:textFill>
        </w:rPr>
        <w:t>第十四条</w:t>
      </w:r>
      <w:r>
        <w:rPr>
          <w:rFonts w:hint="eastAsia" w:ascii="仿宋" w:hAnsi="仿宋" w:eastAsia="仿宋" w:cs="仿宋"/>
          <w:b/>
          <w:bCs/>
          <w:color w:val="000000" w:themeColor="text1"/>
          <w:sz w:val="32"/>
          <w:szCs w:val="32"/>
          <w:highlight w:val="none"/>
          <w14:textFill>
            <w14:solidFill>
              <w14:schemeClr w14:val="tx1"/>
            </w14:solidFill>
          </w14:textFill>
        </w:rPr>
        <w:t>【公平待遇】</w:t>
      </w:r>
      <w:bookmarkEnd w:id="35"/>
      <w:bookmarkEnd w:id="36"/>
      <w:r>
        <w:rPr>
          <w:rFonts w:hint="eastAsia" w:ascii="仿宋" w:hAnsi="仿宋" w:eastAsia="仿宋" w:cs="仿宋"/>
          <w:color w:val="000000" w:themeColor="text1"/>
          <w:sz w:val="32"/>
          <w:szCs w:val="32"/>
          <w:highlight w:val="none"/>
          <w14:textFill>
            <w14:solidFill>
              <w14:schemeClr w14:val="tx1"/>
            </w14:solidFill>
          </w14:textFill>
        </w:rPr>
        <w:t>市、区人民政府及有关部门</w:t>
      </w:r>
      <w:r>
        <w:rPr>
          <w:rFonts w:hint="eastAsia" w:ascii="仿宋" w:hAnsi="仿宋" w:eastAsia="仿宋" w:cs="仿宋"/>
          <w:color w:val="000000" w:themeColor="text1"/>
          <w:sz w:val="32"/>
          <w:szCs w:val="32"/>
          <w:highlight w:val="none"/>
          <w:lang w:eastAsia="zh-CN"/>
          <w14:textFill>
            <w14:solidFill>
              <w14:schemeClr w14:val="tx1"/>
            </w14:solidFill>
          </w14:textFill>
        </w:rPr>
        <w:t>依法保障各类市场主体获得平等待遇，保障市场主体公平参与市场竞争，不得制定或者实施歧视性政策。</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各类市场主体依法平等适用各项政策和措施，享有公平使用人力资源、资金、技术、数据资源、土地及其他自然资源和水电气等公共服务资源的权利。</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37" w:name="_Toc67498941"/>
      <w:bookmarkEnd w:id="37"/>
      <w:bookmarkStart w:id="38" w:name="_Toc69375800"/>
      <w:bookmarkEnd w:id="38"/>
      <w:bookmarkStart w:id="39" w:name="_Toc67498940"/>
      <w:bookmarkEnd w:id="39"/>
      <w:bookmarkStart w:id="40" w:name="_Toc70090133"/>
      <w:bookmarkStart w:id="41" w:name="_Toc67919196"/>
      <w:r>
        <w:rPr>
          <w:rFonts w:hint="eastAsia" w:ascii="仿宋" w:hAnsi="仿宋" w:eastAsia="仿宋" w:cs="仿宋"/>
          <w:b/>
          <w:bCs/>
          <w:color w:val="000000" w:themeColor="text1"/>
          <w:sz w:val="32"/>
          <w:szCs w:val="32"/>
          <w:highlight w:val="none"/>
          <w:lang w:eastAsia="zh-CN"/>
          <w14:textFill>
            <w14:solidFill>
              <w14:schemeClr w14:val="tx1"/>
            </w14:solidFill>
          </w14:textFill>
        </w:rPr>
        <w:t>第十五条</w:t>
      </w:r>
      <w:r>
        <w:rPr>
          <w:rFonts w:hint="eastAsia" w:ascii="仿宋" w:hAnsi="仿宋" w:eastAsia="仿宋" w:cs="仿宋"/>
          <w:b/>
          <w:bCs/>
          <w:color w:val="000000" w:themeColor="text1"/>
          <w:sz w:val="32"/>
          <w:szCs w:val="32"/>
          <w:highlight w:val="none"/>
          <w14:textFill>
            <w14:solidFill>
              <w14:schemeClr w14:val="tx1"/>
            </w14:solidFill>
          </w14:textFill>
        </w:rPr>
        <w:t>【市场准入】</w:t>
      </w:r>
      <w:bookmarkEnd w:id="40"/>
      <w:r>
        <w:rPr>
          <w:rFonts w:hint="eastAsia" w:ascii="仿宋" w:hAnsi="仿宋" w:eastAsia="仿宋" w:cs="仿宋"/>
          <w:color w:val="000000" w:themeColor="text1"/>
          <w:sz w:val="32"/>
          <w:szCs w:val="32"/>
          <w:highlight w:val="none"/>
          <w14:textFill>
            <w14:solidFill>
              <w14:schemeClr w14:val="tx1"/>
            </w14:solidFill>
          </w14:textFill>
        </w:rPr>
        <w:t>市、区人民政府及有关部门应当按照国家规定实行统一的市场准入负面清单制度。市场准入负面清单以外的领域，各类市场主体均可</w:t>
      </w:r>
      <w:r>
        <w:rPr>
          <w:rFonts w:hint="eastAsia" w:ascii="仿宋" w:hAnsi="仿宋" w:eastAsia="仿宋" w:cs="仿宋"/>
          <w:color w:val="000000" w:themeColor="text1"/>
          <w:sz w:val="32"/>
          <w:szCs w:val="32"/>
          <w:highlight w:val="none"/>
          <w:lang w:eastAsia="zh-CN"/>
          <w14:textFill>
            <w14:solidFill>
              <w14:schemeClr w14:val="tx1"/>
            </w14:solidFill>
          </w14:textFill>
        </w:rPr>
        <w:t>以</w:t>
      </w:r>
      <w:r>
        <w:rPr>
          <w:rFonts w:hint="eastAsia" w:ascii="仿宋" w:hAnsi="仿宋" w:eastAsia="仿宋" w:cs="仿宋"/>
          <w:color w:val="000000" w:themeColor="text1"/>
          <w:sz w:val="32"/>
          <w:szCs w:val="32"/>
          <w:highlight w:val="none"/>
          <w14:textFill>
            <w14:solidFill>
              <w14:schemeClr w14:val="tx1"/>
            </w14:solidFill>
          </w14:textFill>
        </w:rPr>
        <w:t>依法平等进入。</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外商投资实施准入前国民待遇加负面清单管理制度。外商投资准入负面清单以外的领域，按照内外资一致的原则实施管理。</w:t>
      </w:r>
    </w:p>
    <w:bookmarkEnd w:id="41"/>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42" w:name="_Toc67919197"/>
      <w:bookmarkStart w:id="43" w:name="_Toc70090134"/>
      <w:r>
        <w:rPr>
          <w:rFonts w:hint="eastAsia" w:ascii="仿宋" w:hAnsi="仿宋" w:eastAsia="仿宋" w:cs="仿宋"/>
          <w:b/>
          <w:bCs/>
          <w:color w:val="000000" w:themeColor="text1"/>
          <w:sz w:val="32"/>
          <w:szCs w:val="32"/>
          <w:highlight w:val="none"/>
          <w:lang w:eastAsia="zh-CN"/>
          <w14:textFill>
            <w14:solidFill>
              <w14:schemeClr w14:val="tx1"/>
            </w14:solidFill>
          </w14:textFill>
        </w:rPr>
        <w:t>第十六条</w:t>
      </w:r>
      <w:r>
        <w:rPr>
          <w:rFonts w:hint="eastAsia" w:ascii="仿宋" w:hAnsi="仿宋" w:eastAsia="仿宋" w:cs="仿宋"/>
          <w:b/>
          <w:bCs/>
          <w:color w:val="000000" w:themeColor="text1"/>
          <w:sz w:val="32"/>
          <w:szCs w:val="32"/>
          <w:highlight w:val="none"/>
          <w14:textFill>
            <w14:solidFill>
              <w14:schemeClr w14:val="tx1"/>
            </w14:solidFill>
          </w14:textFill>
        </w:rPr>
        <w:t>【企业开办服务】</w:t>
      </w:r>
      <w:bookmarkEnd w:id="42"/>
      <w:bookmarkEnd w:id="43"/>
      <w:r>
        <w:rPr>
          <w:rFonts w:hint="eastAsia" w:ascii="仿宋" w:hAnsi="仿宋" w:eastAsia="仿宋" w:cs="仿宋"/>
          <w:color w:val="000000" w:themeColor="text1"/>
          <w:sz w:val="32"/>
          <w:szCs w:val="32"/>
          <w:highlight w:val="none"/>
          <w14:textFill>
            <w14:solidFill>
              <w14:schemeClr w14:val="tx1"/>
            </w14:solidFill>
          </w14:textFill>
        </w:rPr>
        <w:t>除法律、行政法规另有规定外，有关部门应当采取下列措施简化市场主体登记手续：</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㈠采用统一的数据标准、平台服务接口、社会信用代码进行登记管理；</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㈡实行企业名称自主申报、经营范围规范化登记</w:t>
      </w:r>
      <w:r>
        <w:rPr>
          <w:rFonts w:hint="eastAsia" w:ascii="仿宋" w:hAnsi="仿宋" w:eastAsia="仿宋" w:cs="仿宋"/>
          <w:color w:val="000000" w:themeColor="text1"/>
          <w:sz w:val="32"/>
          <w:szCs w:val="32"/>
          <w:highlight w:val="none"/>
          <w:lang w:eastAsia="zh-CN"/>
          <w14:textFill>
            <w14:solidFill>
              <w14:schemeClr w14:val="tx1"/>
            </w14:solidFill>
          </w14:textFill>
        </w:rPr>
        <w:t>以及</w:t>
      </w:r>
      <w:r>
        <w:rPr>
          <w:rFonts w:hint="eastAsia" w:ascii="仿宋" w:hAnsi="仿宋" w:eastAsia="仿宋" w:cs="仿宋"/>
          <w:color w:val="000000" w:themeColor="text1"/>
          <w:sz w:val="32"/>
          <w:szCs w:val="32"/>
          <w:highlight w:val="none"/>
          <w14:textFill>
            <w14:solidFill>
              <w14:schemeClr w14:val="tx1"/>
            </w14:solidFill>
          </w14:textFill>
        </w:rPr>
        <w:t>住所、经营场所申报承诺和告知承诺制；</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strike/>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㈢允许多个市场主体按</w:t>
      </w:r>
      <w:r>
        <w:rPr>
          <w:rFonts w:hint="eastAsia" w:ascii="仿宋" w:hAnsi="仿宋" w:eastAsia="仿宋" w:cs="仿宋"/>
          <w:color w:val="000000" w:themeColor="text1"/>
          <w:sz w:val="32"/>
          <w:szCs w:val="32"/>
          <w:highlight w:val="none"/>
          <w:lang w:eastAsia="zh-CN"/>
          <w14:textFill>
            <w14:solidFill>
              <w14:schemeClr w14:val="tx1"/>
            </w14:solidFill>
          </w14:textFill>
        </w:rPr>
        <w:t>照</w:t>
      </w:r>
      <w:r>
        <w:rPr>
          <w:rFonts w:hint="eastAsia" w:ascii="仿宋" w:hAnsi="仿宋" w:eastAsia="仿宋" w:cs="仿宋"/>
          <w:color w:val="000000" w:themeColor="text1"/>
          <w:sz w:val="32"/>
          <w:szCs w:val="32"/>
          <w:highlight w:val="none"/>
          <w14:textFill>
            <w14:solidFill>
              <w14:schemeClr w14:val="tx1"/>
            </w14:solidFill>
          </w14:textFill>
        </w:rPr>
        <w:t>规定将同一地址登记为住所；</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㈣推广实施市场主体登记全程网上办理</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市场主体通过厦门市商事主体登记及信用信息公示平台申报年报时，</w:t>
      </w:r>
      <w:r>
        <w:rPr>
          <w:rFonts w:hint="eastAsia" w:ascii="仿宋" w:hAnsi="仿宋" w:eastAsia="仿宋" w:cs="仿宋"/>
          <w:color w:val="000000" w:themeColor="text1"/>
          <w:sz w:val="32"/>
          <w:szCs w:val="32"/>
          <w:highlight w:val="none"/>
          <w:lang w:eastAsia="zh-CN"/>
          <w14:textFill>
            <w14:solidFill>
              <w14:schemeClr w14:val="tx1"/>
            </w14:solidFill>
          </w14:textFill>
        </w:rPr>
        <w:t>应当确认</w:t>
      </w:r>
      <w:r>
        <w:rPr>
          <w:rFonts w:hint="eastAsia" w:ascii="仿宋" w:hAnsi="仿宋" w:eastAsia="仿宋" w:cs="仿宋"/>
          <w:color w:val="000000" w:themeColor="text1"/>
          <w:sz w:val="32"/>
          <w:szCs w:val="32"/>
          <w:highlight w:val="none"/>
          <w14:textFill>
            <w14:solidFill>
              <w14:schemeClr w14:val="tx1"/>
            </w14:solidFill>
          </w14:textFill>
        </w:rPr>
        <w:t>法律文书送达地址</w:t>
      </w:r>
      <w:r>
        <w:rPr>
          <w:rFonts w:hint="eastAsia" w:ascii="仿宋" w:hAnsi="仿宋" w:eastAsia="仿宋" w:cs="仿宋"/>
          <w:color w:val="000000" w:themeColor="text1"/>
          <w:sz w:val="32"/>
          <w:szCs w:val="32"/>
          <w:highlight w:val="none"/>
          <w:lang w:eastAsia="zh-CN"/>
          <w14:textFill>
            <w14:solidFill>
              <w14:schemeClr w14:val="tx1"/>
            </w14:solidFill>
          </w14:textFill>
        </w:rPr>
        <w:t>，承诺对送达地址的真实性负责；</w:t>
      </w:r>
      <w:r>
        <w:rPr>
          <w:rFonts w:hint="eastAsia" w:ascii="仿宋" w:hAnsi="仿宋" w:eastAsia="仿宋" w:cs="仿宋"/>
          <w:b w:val="0"/>
          <w:color w:val="000000"/>
          <w:sz w:val="32"/>
          <w:szCs w:val="32"/>
          <w:highlight w:val="none"/>
          <w:u w:val="none"/>
        </w:rPr>
        <w:t>市场主体同意适用电子送达方式的</w:t>
      </w:r>
      <w:r>
        <w:rPr>
          <w:rFonts w:hint="eastAsia" w:ascii="仿宋" w:hAnsi="仿宋" w:eastAsia="仿宋" w:cs="仿宋"/>
          <w:b w:val="0"/>
          <w:color w:val="000000"/>
          <w:sz w:val="32"/>
          <w:szCs w:val="32"/>
          <w:highlight w:val="none"/>
          <w:u w:val="none"/>
          <w:lang w:eastAsia="zh-CN"/>
        </w:rPr>
        <w:t>，</w:t>
      </w:r>
      <w:r>
        <w:rPr>
          <w:rFonts w:hint="eastAsia" w:ascii="仿宋" w:hAnsi="仿宋" w:eastAsia="仿宋" w:cs="仿宋"/>
          <w:b w:val="0"/>
          <w:color w:val="000000"/>
          <w:sz w:val="32"/>
          <w:szCs w:val="32"/>
          <w:highlight w:val="none"/>
          <w:u w:val="none"/>
        </w:rPr>
        <w:t>在</w:t>
      </w:r>
      <w:r>
        <w:rPr>
          <w:rFonts w:hint="eastAsia" w:ascii="仿宋" w:hAnsi="仿宋" w:eastAsia="仿宋" w:cs="仿宋"/>
          <w:color w:val="000000" w:themeColor="text1"/>
          <w:sz w:val="32"/>
          <w:szCs w:val="32"/>
          <w:highlight w:val="none"/>
          <w14:textFill>
            <w14:solidFill>
              <w14:schemeClr w14:val="tx1"/>
            </w14:solidFill>
          </w14:textFill>
        </w:rPr>
        <w:t>商事主体登记及信用信息公示平台</w:t>
      </w:r>
      <w:r>
        <w:rPr>
          <w:rFonts w:hint="eastAsia" w:ascii="仿宋" w:hAnsi="仿宋" w:eastAsia="仿宋" w:cs="仿宋"/>
          <w:b w:val="0"/>
          <w:color w:val="000000"/>
          <w:sz w:val="32"/>
          <w:szCs w:val="32"/>
          <w:highlight w:val="none"/>
          <w:u w:val="none"/>
        </w:rPr>
        <w:t>填写的电子邮箱、传真号等可以作为电子法律文书送达地址</w:t>
      </w:r>
      <w:r>
        <w:rPr>
          <w:rFonts w:hint="eastAsia" w:ascii="仿宋" w:hAnsi="仿宋" w:eastAsia="仿宋" w:cs="仿宋"/>
          <w:b w:val="0"/>
          <w:color w:val="000000"/>
          <w:sz w:val="32"/>
          <w:szCs w:val="32"/>
          <w:highlight w:val="none"/>
          <w:u w:val="none"/>
          <w:lang w:eastAsia="zh-CN"/>
        </w:rPr>
        <w:t>，</w:t>
      </w:r>
      <w:r>
        <w:rPr>
          <w:rFonts w:hint="eastAsia" w:ascii="仿宋" w:hAnsi="仿宋" w:eastAsia="仿宋" w:cs="仿宋"/>
          <w:b w:val="0"/>
          <w:color w:val="000000"/>
          <w:sz w:val="32"/>
          <w:szCs w:val="32"/>
          <w:highlight w:val="none"/>
          <w:u w:val="none"/>
        </w:rPr>
        <w:t>法律、法规另有规定的除外。</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44" w:name="_Toc69122875"/>
      <w:bookmarkEnd w:id="44"/>
      <w:bookmarkStart w:id="45" w:name="_Toc69120588"/>
      <w:bookmarkEnd w:id="45"/>
      <w:bookmarkStart w:id="46" w:name="_Toc69120732"/>
      <w:bookmarkEnd w:id="46"/>
      <w:bookmarkStart w:id="47" w:name="_Toc69375803"/>
      <w:bookmarkEnd w:id="47"/>
      <w:bookmarkStart w:id="48" w:name="_Toc70090139"/>
      <w:bookmarkStart w:id="49" w:name="_Toc67919203"/>
      <w:r>
        <w:rPr>
          <w:rFonts w:hint="eastAsia" w:ascii="仿宋" w:hAnsi="仿宋" w:eastAsia="仿宋" w:cs="仿宋"/>
          <w:b/>
          <w:bCs/>
          <w:color w:val="000000" w:themeColor="text1"/>
          <w:sz w:val="32"/>
          <w:szCs w:val="32"/>
          <w:highlight w:val="none"/>
          <w:lang w:eastAsia="zh-CN"/>
          <w14:textFill>
            <w14:solidFill>
              <w14:schemeClr w14:val="tx1"/>
            </w14:solidFill>
          </w14:textFill>
        </w:rPr>
        <w:t>第十七条</w:t>
      </w:r>
      <w:r>
        <w:rPr>
          <w:rFonts w:hint="eastAsia" w:ascii="仿宋" w:hAnsi="仿宋" w:eastAsia="仿宋" w:cs="仿宋"/>
          <w:b/>
          <w:bCs/>
          <w:color w:val="000000" w:themeColor="text1"/>
          <w:sz w:val="32"/>
          <w:szCs w:val="32"/>
          <w:highlight w:val="none"/>
          <w14:textFill>
            <w14:solidFill>
              <w14:schemeClr w14:val="tx1"/>
            </w14:solidFill>
          </w14:textFill>
        </w:rPr>
        <w:t>【公共资源交易便利化】</w:t>
      </w:r>
      <w:bookmarkEnd w:id="48"/>
      <w:bookmarkEnd w:id="49"/>
      <w:r>
        <w:rPr>
          <w:rFonts w:hint="eastAsia" w:ascii="仿宋" w:hAnsi="仿宋" w:eastAsia="仿宋" w:cs="仿宋"/>
          <w:color w:val="000000" w:themeColor="text1"/>
          <w:sz w:val="32"/>
          <w:szCs w:val="32"/>
          <w:highlight w:val="none"/>
          <w14:textFill>
            <w14:solidFill>
              <w14:schemeClr w14:val="tx1"/>
            </w14:solidFill>
          </w14:textFill>
        </w:rPr>
        <w:t>市人民政府应当建立健全公共资源交易平台体系，推进公共资源交易各领域业务流程电子化</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实行公共资源交易目录管理，将工程建设项目招标投标、土地使用权和矿业权出让、国有产权交易、政府采购等依法纳入公共资源交易平台体系，公开交易目录、规则、程序、结果、监管和信用等信息，保障各类市场主体及时获取有关信息并平等参与交易活动。</w:t>
      </w:r>
      <w:bookmarkStart w:id="50" w:name="_Toc70090140"/>
      <w:bookmarkStart w:id="51" w:name="_Toc67919204"/>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第十八条</w:t>
      </w:r>
      <w:r>
        <w:rPr>
          <w:rFonts w:hint="eastAsia" w:ascii="仿宋" w:hAnsi="仿宋" w:eastAsia="仿宋" w:cs="仿宋"/>
          <w:b/>
          <w:bCs/>
          <w:color w:val="000000" w:themeColor="text1"/>
          <w:sz w:val="32"/>
          <w:szCs w:val="32"/>
          <w:highlight w:val="none"/>
          <w14:textFill>
            <w14:solidFill>
              <w14:schemeClr w14:val="tx1"/>
            </w14:solidFill>
          </w14:textFill>
        </w:rPr>
        <w:t>【信贷</w:t>
      </w:r>
      <w:r>
        <w:rPr>
          <w:rFonts w:hint="eastAsia" w:ascii="仿宋" w:hAnsi="仿宋" w:eastAsia="仿宋" w:cs="仿宋"/>
          <w:b/>
          <w:bCs/>
          <w:color w:val="000000" w:themeColor="text1"/>
          <w:sz w:val="32"/>
          <w:szCs w:val="32"/>
          <w:highlight w:val="none"/>
          <w:lang w:eastAsia="zh-CN"/>
          <w14:textFill>
            <w14:solidFill>
              <w14:schemeClr w14:val="tx1"/>
            </w14:solidFill>
          </w14:textFill>
        </w:rPr>
        <w:t>便利化</w:t>
      </w:r>
      <w:r>
        <w:rPr>
          <w:rFonts w:hint="eastAsia" w:ascii="仿宋" w:hAnsi="仿宋" w:eastAsia="仿宋" w:cs="仿宋"/>
          <w:b/>
          <w:bCs/>
          <w:color w:val="000000" w:themeColor="text1"/>
          <w:sz w:val="32"/>
          <w:szCs w:val="32"/>
          <w:highlight w:val="none"/>
          <w14:textFill>
            <w14:solidFill>
              <w14:schemeClr w14:val="tx1"/>
            </w14:solidFill>
          </w14:textFill>
        </w:rPr>
        <w:t>】</w:t>
      </w:r>
      <w:bookmarkEnd w:id="50"/>
      <w:bookmarkEnd w:id="51"/>
      <w:r>
        <w:rPr>
          <w:rFonts w:hint="eastAsia" w:ascii="仿宋" w:hAnsi="仿宋" w:eastAsia="仿宋" w:cs="仿宋"/>
          <w:color w:val="000000" w:themeColor="text1"/>
          <w:sz w:val="32"/>
          <w:szCs w:val="32"/>
          <w:highlight w:val="none"/>
          <w14:textFill>
            <w14:solidFill>
              <w14:schemeClr w14:val="tx1"/>
            </w14:solidFill>
          </w14:textFill>
        </w:rPr>
        <w:t>在确保信息安全</w:t>
      </w:r>
      <w:r>
        <w:rPr>
          <w:rFonts w:hint="eastAsia" w:ascii="仿宋" w:hAnsi="仿宋" w:eastAsia="仿宋" w:cs="仿宋"/>
          <w:color w:val="000000" w:themeColor="text1"/>
          <w:sz w:val="32"/>
          <w:szCs w:val="32"/>
          <w:highlight w:val="none"/>
          <w:lang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前提下</w:t>
      </w:r>
      <w:r>
        <w:rPr>
          <w:rFonts w:hint="eastAsia" w:ascii="仿宋" w:hAnsi="仿宋" w:eastAsia="仿宋" w:cs="仿宋"/>
          <w:color w:val="000000" w:themeColor="text1"/>
          <w:sz w:val="32"/>
          <w:szCs w:val="32"/>
          <w:highlight w:val="none"/>
          <w:lang w:eastAsia="zh-CN"/>
          <w14:textFill>
            <w14:solidFill>
              <w14:schemeClr w14:val="tx1"/>
            </w14:solidFill>
          </w14:textFill>
        </w:rPr>
        <w:t>，依法归集的公共信用信息可以</w:t>
      </w:r>
      <w:r>
        <w:rPr>
          <w:rFonts w:hint="eastAsia" w:ascii="仿宋" w:hAnsi="仿宋" w:eastAsia="仿宋" w:cs="仿宋"/>
          <w:color w:val="000000" w:themeColor="text1"/>
          <w:sz w:val="32"/>
          <w:szCs w:val="32"/>
          <w:highlight w:val="none"/>
          <w14:textFill>
            <w14:solidFill>
              <w14:schemeClr w14:val="tx1"/>
            </w14:solidFill>
          </w14:textFill>
        </w:rPr>
        <w:t>向金融机构</w:t>
      </w:r>
      <w:r>
        <w:rPr>
          <w:rFonts w:hint="eastAsia" w:ascii="仿宋" w:hAnsi="仿宋" w:eastAsia="仿宋" w:cs="仿宋"/>
          <w:color w:val="000000" w:themeColor="text1"/>
          <w:sz w:val="32"/>
          <w:szCs w:val="32"/>
          <w:highlight w:val="none"/>
          <w:lang w:eastAsia="zh-CN"/>
          <w14:textFill>
            <w14:solidFill>
              <w14:schemeClr w14:val="tx1"/>
            </w14:solidFill>
          </w14:textFill>
        </w:rPr>
        <w:t>等融资平台</w:t>
      </w:r>
      <w:r>
        <w:rPr>
          <w:rFonts w:hint="eastAsia" w:ascii="仿宋" w:hAnsi="仿宋" w:eastAsia="仿宋" w:cs="仿宋"/>
          <w:color w:val="000000" w:themeColor="text1"/>
          <w:sz w:val="32"/>
          <w:szCs w:val="32"/>
          <w:highlight w:val="none"/>
          <w14:textFill>
            <w14:solidFill>
              <w14:schemeClr w14:val="tx1"/>
            </w14:solidFill>
          </w14:textFill>
        </w:rPr>
        <w:t>开放</w:t>
      </w:r>
      <w:r>
        <w:rPr>
          <w:rFonts w:hint="eastAsia" w:ascii="仿宋" w:hAnsi="仿宋" w:eastAsia="仿宋" w:cs="仿宋"/>
          <w:color w:val="000000" w:themeColor="text1"/>
          <w:sz w:val="32"/>
          <w:szCs w:val="32"/>
          <w:highlight w:val="none"/>
          <w:lang w:eastAsia="zh-CN"/>
          <w14:textFill>
            <w14:solidFill>
              <w14:schemeClr w14:val="tx1"/>
            </w14:solidFill>
          </w14:textFill>
        </w:rPr>
        <w:t>，支持金融机构开发信用融资产品，支持信用状况良好的市场主体提高信用评级和融资可得性。</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优化金融机构</w:t>
      </w:r>
      <w:r>
        <w:rPr>
          <w:rFonts w:hint="eastAsia" w:ascii="仿宋" w:hAnsi="仿宋" w:eastAsia="仿宋" w:cs="仿宋"/>
          <w:color w:val="000000" w:themeColor="text1"/>
          <w:sz w:val="32"/>
          <w:szCs w:val="32"/>
          <w:highlight w:val="none"/>
          <w:lang w:eastAsia="zh-CN"/>
          <w14:textFill>
            <w14:solidFill>
              <w14:schemeClr w14:val="tx1"/>
            </w14:solidFill>
          </w14:textFill>
        </w:rPr>
        <w:t>、地方金融组织</w:t>
      </w:r>
      <w:r>
        <w:rPr>
          <w:rFonts w:hint="eastAsia" w:ascii="仿宋" w:hAnsi="仿宋" w:eastAsia="仿宋" w:cs="仿宋"/>
          <w:color w:val="000000" w:themeColor="text1"/>
          <w:sz w:val="32"/>
          <w:szCs w:val="32"/>
          <w:highlight w:val="none"/>
          <w14:textFill>
            <w14:solidFill>
              <w14:schemeClr w14:val="tx1"/>
            </w14:solidFill>
          </w14:textFill>
        </w:rPr>
        <w:t>与企业</w:t>
      </w:r>
      <w:r>
        <w:rPr>
          <w:rFonts w:hint="eastAsia" w:ascii="仿宋" w:hAnsi="仿宋" w:eastAsia="仿宋" w:cs="仿宋"/>
          <w:color w:val="000000" w:themeColor="text1"/>
          <w:sz w:val="32"/>
          <w:szCs w:val="32"/>
          <w:highlight w:val="none"/>
          <w:lang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信</w:t>
      </w:r>
      <w:r>
        <w:rPr>
          <w:rFonts w:hint="eastAsia" w:ascii="仿宋" w:hAnsi="仿宋" w:eastAsia="仿宋" w:cs="仿宋"/>
          <w:color w:val="000000" w:themeColor="text1"/>
          <w:sz w:val="32"/>
          <w:szCs w:val="32"/>
          <w:highlight w:val="none"/>
          <w:lang w:eastAsia="zh-CN"/>
          <w14:textFill>
            <w14:solidFill>
              <w14:schemeClr w14:val="tx1"/>
            </w14:solidFill>
          </w14:textFill>
        </w:rPr>
        <w:t>息高效精准对接机制。鼓励银行等金融机构和地方金融组织运用金融科技手段按照规定开发特色金融产品和服务，为市场主体提供融资便利。</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52" w:name="_Toc62237670"/>
      <w:bookmarkStart w:id="53" w:name="_Toc70090141"/>
      <w:bookmarkStart w:id="54" w:name="_Toc63867573"/>
      <w:bookmarkStart w:id="55" w:name="_Toc67919205"/>
      <w:r>
        <w:rPr>
          <w:rFonts w:hint="eastAsia" w:ascii="仿宋" w:hAnsi="仿宋" w:eastAsia="仿宋" w:cs="仿宋"/>
          <w:b/>
          <w:bCs/>
          <w:color w:val="000000" w:themeColor="text1"/>
          <w:sz w:val="32"/>
          <w:szCs w:val="32"/>
          <w:highlight w:val="none"/>
          <w:lang w:eastAsia="zh-CN"/>
          <w14:textFill>
            <w14:solidFill>
              <w14:schemeClr w14:val="tx1"/>
            </w14:solidFill>
          </w14:textFill>
        </w:rPr>
        <w:t>第十九条</w:t>
      </w:r>
      <w:r>
        <w:rPr>
          <w:rFonts w:hint="eastAsia" w:ascii="仿宋" w:hAnsi="仿宋" w:eastAsia="仿宋" w:cs="仿宋"/>
          <w:b/>
          <w:bCs/>
          <w:color w:val="000000" w:themeColor="text1"/>
          <w:sz w:val="32"/>
          <w:szCs w:val="32"/>
          <w:highlight w:val="none"/>
          <w14:textFill>
            <w14:solidFill>
              <w14:schemeClr w14:val="tx1"/>
            </w14:solidFill>
          </w14:textFill>
        </w:rPr>
        <w:t>【降低信贷成本</w:t>
      </w:r>
      <w:r>
        <w:rPr>
          <w:rFonts w:hint="eastAsia" w:ascii="仿宋" w:hAnsi="仿宋" w:eastAsia="仿宋" w:cs="仿宋"/>
          <w:b/>
          <w:bCs/>
          <w:color w:val="000000" w:themeColor="text1"/>
          <w:sz w:val="32"/>
          <w:szCs w:val="32"/>
          <w:highlight w:val="none"/>
          <w:lang w:eastAsia="zh-CN"/>
          <w14:textFill>
            <w14:solidFill>
              <w14:schemeClr w14:val="tx1"/>
            </w14:solidFill>
          </w14:textFill>
        </w:rPr>
        <w:t>之一</w:t>
      </w:r>
      <w:r>
        <w:rPr>
          <w:rFonts w:hint="eastAsia" w:ascii="仿宋" w:hAnsi="仿宋" w:eastAsia="仿宋" w:cs="仿宋"/>
          <w:b/>
          <w:bCs/>
          <w:color w:val="000000" w:themeColor="text1"/>
          <w:sz w:val="32"/>
          <w:szCs w:val="32"/>
          <w:highlight w:val="none"/>
          <w14:textFill>
            <w14:solidFill>
              <w14:schemeClr w14:val="tx1"/>
            </w14:solidFill>
          </w14:textFill>
        </w:rPr>
        <w:t>】</w:t>
      </w:r>
      <w:bookmarkEnd w:id="52"/>
      <w:bookmarkEnd w:id="53"/>
      <w:bookmarkEnd w:id="54"/>
      <w:bookmarkEnd w:id="55"/>
      <w:r>
        <w:rPr>
          <w:rFonts w:hint="eastAsia" w:ascii="仿宋" w:hAnsi="仿宋" w:eastAsia="仿宋" w:cs="仿宋"/>
          <w:color w:val="000000" w:themeColor="text1"/>
          <w:sz w:val="32"/>
          <w:szCs w:val="32"/>
          <w:highlight w:val="none"/>
          <w14:textFill>
            <w14:solidFill>
              <w14:schemeClr w14:val="tx1"/>
            </w14:solidFill>
          </w14:textFill>
        </w:rPr>
        <w:t>鼓励金融机构采取下列措施，扩大企业融资规模，提高中小微企业融资比重</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中长期融资比重</w:t>
      </w:r>
      <w:r>
        <w:rPr>
          <w:rFonts w:hint="eastAsia" w:ascii="仿宋" w:hAnsi="仿宋" w:eastAsia="仿宋" w:cs="仿宋"/>
          <w:color w:val="000000" w:themeColor="text1"/>
          <w:sz w:val="32"/>
          <w:szCs w:val="32"/>
          <w:highlight w:val="none"/>
          <w:lang w:eastAsia="zh-CN"/>
          <w14:textFill>
            <w14:solidFill>
              <w14:schemeClr w14:val="tx1"/>
            </w14:solidFill>
          </w14:textFill>
        </w:rPr>
        <w:t>和</w:t>
      </w:r>
      <w:r>
        <w:rPr>
          <w:rFonts w:hint="eastAsia" w:ascii="仿宋" w:hAnsi="仿宋" w:eastAsia="仿宋" w:cs="仿宋"/>
          <w:color w:val="000000" w:themeColor="text1"/>
          <w:sz w:val="32"/>
          <w:szCs w:val="32"/>
          <w:highlight w:val="none"/>
          <w14:textFill>
            <w14:solidFill>
              <w14:schemeClr w14:val="tx1"/>
            </w14:solidFill>
          </w14:textFill>
        </w:rPr>
        <w:t>融资审批效率，降低融资利率和成本：</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㈠对民营企业、中小企业授信不设置不合理条件或者歧视性要求；</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㈡优化对民营企业等的贷款期限管理，落实无还本续贷政策；</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㈢在风险可控的前提下，推广小型微型企业信用贷款；</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㈣提升整体风险管理水平，在符合监管要求的前提下，适度提高小型微型企业不良贷款容忍度。</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第二十</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条</w:t>
      </w:r>
      <w:r>
        <w:rPr>
          <w:rFonts w:hint="eastAsia" w:ascii="仿宋" w:hAnsi="仿宋" w:eastAsia="仿宋" w:cs="仿宋"/>
          <w:b/>
          <w:bCs/>
          <w:color w:val="000000" w:themeColor="text1"/>
          <w:sz w:val="32"/>
          <w:szCs w:val="32"/>
          <w:highlight w:val="none"/>
          <w14:textFill>
            <w14:solidFill>
              <w14:schemeClr w14:val="tx1"/>
            </w14:solidFill>
          </w14:textFill>
        </w:rPr>
        <w:t>【降低信贷成本</w:t>
      </w:r>
      <w:r>
        <w:rPr>
          <w:rFonts w:hint="eastAsia" w:ascii="仿宋" w:hAnsi="仿宋" w:eastAsia="仿宋" w:cs="仿宋"/>
          <w:b/>
          <w:bCs/>
          <w:color w:val="000000" w:themeColor="text1"/>
          <w:sz w:val="32"/>
          <w:szCs w:val="32"/>
          <w:highlight w:val="none"/>
          <w:lang w:eastAsia="zh-CN"/>
          <w14:textFill>
            <w14:solidFill>
              <w14:schemeClr w14:val="tx1"/>
            </w14:solidFill>
          </w14:textFill>
        </w:rPr>
        <w:t>之二</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市、区人民政府及有关部门应当</w:t>
      </w:r>
      <w:r>
        <w:rPr>
          <w:rFonts w:hint="eastAsia" w:ascii="仿宋" w:hAnsi="仿宋" w:eastAsia="仿宋" w:cs="仿宋"/>
          <w:color w:val="000000" w:themeColor="text1"/>
          <w:sz w:val="32"/>
          <w:szCs w:val="32"/>
          <w:highlight w:val="none"/>
          <w:lang w:eastAsia="zh-CN"/>
          <w14:textFill>
            <w14:solidFill>
              <w14:schemeClr w14:val="tx1"/>
            </w14:solidFill>
          </w14:textFill>
        </w:rPr>
        <w:t>采取下列措施，降低企业的信贷成本：</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㈠推广实施知识产权质押、股权质押等担保方式；</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㈡完善增信基金运行机制</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㈢建立普惠型贷款风险补偿机制和应急转贷机制；</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㈣完善政府性融资担保体系，发展政府性融资担保机构。</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第二十一条【银行开户便利】</w:t>
      </w:r>
      <w:r>
        <w:rPr>
          <w:rFonts w:hint="eastAsia" w:ascii="仿宋" w:hAnsi="仿宋" w:eastAsia="仿宋" w:cs="仿宋"/>
          <w:color w:val="000000" w:themeColor="text1"/>
          <w:sz w:val="32"/>
          <w:szCs w:val="32"/>
          <w:highlight w:val="none"/>
          <w:lang w:eastAsia="zh-CN"/>
          <w14:textFill>
            <w14:solidFill>
              <w14:schemeClr w14:val="tx1"/>
            </w14:solidFill>
          </w14:textFill>
        </w:rPr>
        <w:t>企业设立银行账户的，银行可以采取面对面、视频等方式向企业法定代表人或者负责人核实开户意愿。企业法定代表人或者负责人有经</w:t>
      </w:r>
      <w:r>
        <w:rPr>
          <w:rFonts w:hint="eastAsia" w:ascii="仿宋" w:hAnsi="仿宋" w:eastAsia="仿宋" w:cs="仿宋"/>
          <w:color w:val="000000" w:themeColor="text1"/>
          <w:sz w:val="32"/>
          <w:szCs w:val="32"/>
          <w:highlight w:val="none"/>
          <w:lang w:val="en-US" w:eastAsia="zh-CN"/>
          <w14:textFill>
            <w14:solidFill>
              <w14:schemeClr w14:val="tx1"/>
            </w14:solidFill>
          </w14:textFill>
        </w:rPr>
        <w:t>有关部门认定并依法公开的失信行为的，银行应当采取面对面方式向企业法定代表人或者负责人核实开户意愿。</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56" w:name="_Toc69120741"/>
      <w:bookmarkEnd w:id="56"/>
      <w:bookmarkStart w:id="57" w:name="_Toc69120597"/>
      <w:bookmarkEnd w:id="57"/>
      <w:bookmarkStart w:id="58" w:name="_Toc69122884"/>
      <w:bookmarkEnd w:id="58"/>
      <w:bookmarkStart w:id="59" w:name="_Toc69375812"/>
      <w:bookmarkEnd w:id="59"/>
      <w:bookmarkStart w:id="60" w:name="_Toc67919206"/>
      <w:bookmarkStart w:id="61" w:name="_Toc70090142"/>
      <w:r>
        <w:rPr>
          <w:rFonts w:hint="eastAsia" w:ascii="仿宋" w:hAnsi="仿宋" w:eastAsia="仿宋" w:cs="仿宋"/>
          <w:b/>
          <w:bCs/>
          <w:color w:val="000000" w:themeColor="text1"/>
          <w:sz w:val="32"/>
          <w:szCs w:val="32"/>
          <w:highlight w:val="none"/>
          <w:lang w:eastAsia="zh-CN"/>
          <w14:textFill>
            <w14:solidFill>
              <w14:schemeClr w14:val="tx1"/>
            </w14:solidFill>
          </w14:textFill>
        </w:rPr>
        <w:t>第二十二条</w:t>
      </w:r>
      <w:r>
        <w:rPr>
          <w:rFonts w:hint="eastAsia" w:ascii="仿宋" w:hAnsi="仿宋" w:eastAsia="仿宋" w:cs="仿宋"/>
          <w:b/>
          <w:bCs/>
          <w:color w:val="000000" w:themeColor="text1"/>
          <w:sz w:val="32"/>
          <w:szCs w:val="32"/>
          <w:highlight w:val="none"/>
          <w14:textFill>
            <w14:solidFill>
              <w14:schemeClr w14:val="tx1"/>
            </w14:solidFill>
          </w14:textFill>
        </w:rPr>
        <w:t>【知识产权</w:t>
      </w:r>
      <w:r>
        <w:rPr>
          <w:rFonts w:hint="eastAsia" w:ascii="仿宋" w:hAnsi="仿宋" w:eastAsia="仿宋" w:cs="仿宋"/>
          <w:b/>
          <w:bCs/>
          <w:color w:val="000000" w:themeColor="text1"/>
          <w:sz w:val="32"/>
          <w:szCs w:val="32"/>
          <w:highlight w:val="none"/>
          <w:lang w:eastAsia="zh-CN"/>
          <w14:textFill>
            <w14:solidFill>
              <w14:schemeClr w14:val="tx1"/>
            </w14:solidFill>
          </w14:textFill>
        </w:rPr>
        <w:t>和科研成果</w:t>
      </w:r>
      <w:r>
        <w:rPr>
          <w:rFonts w:hint="eastAsia" w:ascii="仿宋" w:hAnsi="仿宋" w:eastAsia="仿宋" w:cs="仿宋"/>
          <w:b/>
          <w:bCs/>
          <w:color w:val="000000" w:themeColor="text1"/>
          <w:sz w:val="32"/>
          <w:szCs w:val="32"/>
          <w:highlight w:val="none"/>
          <w14:textFill>
            <w14:solidFill>
              <w14:schemeClr w14:val="tx1"/>
            </w14:solidFill>
          </w14:textFill>
        </w:rPr>
        <w:t>】</w:t>
      </w:r>
      <w:bookmarkEnd w:id="60"/>
      <w:bookmarkEnd w:id="61"/>
      <w:r>
        <w:rPr>
          <w:rFonts w:hint="eastAsia" w:ascii="仿宋" w:hAnsi="仿宋" w:eastAsia="仿宋" w:cs="仿宋"/>
          <w:color w:val="000000" w:themeColor="text1"/>
          <w:sz w:val="32"/>
          <w:szCs w:val="32"/>
          <w:highlight w:val="none"/>
          <w14:textFill>
            <w14:solidFill>
              <w14:schemeClr w14:val="tx1"/>
            </w14:solidFill>
          </w14:textFill>
        </w:rPr>
        <w:t>鼓励和支持</w:t>
      </w:r>
      <w:r>
        <w:rPr>
          <w:rFonts w:hint="eastAsia" w:ascii="仿宋" w:hAnsi="仿宋" w:eastAsia="仿宋" w:cs="仿宋"/>
          <w:color w:val="000000" w:themeColor="text1"/>
          <w:sz w:val="32"/>
          <w:szCs w:val="32"/>
          <w:highlight w:val="none"/>
          <w:lang w:eastAsia="zh-CN"/>
          <w14:textFill>
            <w14:solidFill>
              <w14:schemeClr w14:val="tx1"/>
            </w14:solidFill>
          </w14:textFill>
        </w:rPr>
        <w:t>市场主体</w:t>
      </w:r>
      <w:r>
        <w:rPr>
          <w:rFonts w:hint="eastAsia" w:ascii="仿宋" w:hAnsi="仿宋" w:eastAsia="仿宋" w:cs="仿宋"/>
          <w:color w:val="000000" w:themeColor="text1"/>
          <w:sz w:val="32"/>
          <w:szCs w:val="32"/>
          <w:highlight w:val="none"/>
          <w14:textFill>
            <w14:solidFill>
              <w14:schemeClr w14:val="tx1"/>
            </w14:solidFill>
          </w14:textFill>
        </w:rPr>
        <w:t>自主研发和自主创新，加大知识产权的投入。推广和促进</w:t>
      </w:r>
      <w:r>
        <w:rPr>
          <w:rFonts w:hint="eastAsia" w:ascii="仿宋" w:hAnsi="仿宋" w:eastAsia="仿宋" w:cs="仿宋"/>
          <w:color w:val="000000" w:themeColor="text1"/>
          <w:sz w:val="32"/>
          <w:szCs w:val="32"/>
          <w:highlight w:val="none"/>
          <w:lang w:eastAsia="zh-CN"/>
          <w14:textFill>
            <w14:solidFill>
              <w14:schemeClr w14:val="tx1"/>
            </w14:solidFill>
          </w14:textFill>
        </w:rPr>
        <w:t>知识产权</w:t>
      </w:r>
      <w:r>
        <w:rPr>
          <w:rFonts w:hint="eastAsia" w:ascii="仿宋" w:hAnsi="仿宋" w:eastAsia="仿宋" w:cs="仿宋"/>
          <w:color w:val="000000" w:themeColor="text1"/>
          <w:sz w:val="32"/>
          <w:szCs w:val="32"/>
          <w:highlight w:val="none"/>
          <w14:textFill>
            <w14:solidFill>
              <w14:schemeClr w14:val="tx1"/>
            </w14:solidFill>
          </w14:textFill>
        </w:rPr>
        <w:t>成果转化，依法保护</w:t>
      </w:r>
      <w:r>
        <w:rPr>
          <w:rFonts w:hint="eastAsia" w:ascii="仿宋" w:hAnsi="仿宋" w:eastAsia="仿宋" w:cs="仿宋"/>
          <w:color w:val="000000" w:themeColor="text1"/>
          <w:sz w:val="32"/>
          <w:szCs w:val="32"/>
          <w:highlight w:val="none"/>
          <w:lang w:eastAsia="zh-CN"/>
          <w14:textFill>
            <w14:solidFill>
              <w14:schemeClr w14:val="tx1"/>
            </w14:solidFill>
          </w14:textFill>
        </w:rPr>
        <w:t>市场主体</w:t>
      </w:r>
      <w:r>
        <w:rPr>
          <w:rFonts w:hint="eastAsia" w:ascii="仿宋" w:hAnsi="仿宋" w:eastAsia="仿宋" w:cs="仿宋"/>
          <w:color w:val="000000" w:themeColor="text1"/>
          <w:sz w:val="32"/>
          <w:szCs w:val="32"/>
          <w:highlight w:val="none"/>
          <w14:textFill>
            <w14:solidFill>
              <w14:schemeClr w14:val="tx1"/>
            </w14:solidFill>
          </w14:textFill>
        </w:rPr>
        <w:t>知识产权及其成果转化收益，促进和提高</w:t>
      </w:r>
      <w:r>
        <w:rPr>
          <w:rFonts w:hint="eastAsia" w:ascii="仿宋" w:hAnsi="仿宋" w:eastAsia="仿宋" w:cs="仿宋"/>
          <w:color w:val="000000" w:themeColor="text1"/>
          <w:sz w:val="32"/>
          <w:szCs w:val="32"/>
          <w:highlight w:val="none"/>
          <w:lang w:eastAsia="zh-CN"/>
          <w14:textFill>
            <w14:solidFill>
              <w14:schemeClr w14:val="tx1"/>
            </w14:solidFill>
          </w14:textFill>
        </w:rPr>
        <w:t>其</w:t>
      </w:r>
      <w:r>
        <w:rPr>
          <w:rFonts w:hint="eastAsia" w:ascii="仿宋" w:hAnsi="仿宋" w:eastAsia="仿宋" w:cs="仿宋"/>
          <w:color w:val="000000" w:themeColor="text1"/>
          <w:sz w:val="32"/>
          <w:szCs w:val="32"/>
          <w:highlight w:val="none"/>
          <w14:textFill>
            <w14:solidFill>
              <w14:schemeClr w14:val="tx1"/>
            </w14:solidFill>
          </w14:textFill>
        </w:rPr>
        <w:t>运用、管理和保护知识产权的能力。</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鼓励和支持企业与高等院校、科研机构等合作，建立研发机构和创新中心，推进政产学研用协同创新，推动科技成果转化。</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62" w:name="_Toc70090143"/>
      <w:bookmarkStart w:id="63" w:name="_Toc67919207"/>
      <w:r>
        <w:rPr>
          <w:rFonts w:hint="eastAsia" w:ascii="仿宋" w:hAnsi="仿宋" w:eastAsia="仿宋" w:cs="仿宋"/>
          <w:b/>
          <w:bCs/>
          <w:color w:val="000000" w:themeColor="text1"/>
          <w:sz w:val="32"/>
          <w:szCs w:val="32"/>
          <w:highlight w:val="none"/>
          <w:lang w:eastAsia="zh-CN"/>
          <w14:textFill>
            <w14:solidFill>
              <w14:schemeClr w14:val="tx1"/>
            </w14:solidFill>
          </w14:textFill>
        </w:rPr>
        <w:t>第二十三条</w:t>
      </w:r>
      <w:r>
        <w:rPr>
          <w:rFonts w:hint="eastAsia" w:ascii="仿宋" w:hAnsi="仿宋" w:eastAsia="仿宋" w:cs="仿宋"/>
          <w:b/>
          <w:bCs/>
          <w:color w:val="000000" w:themeColor="text1"/>
          <w:sz w:val="32"/>
          <w:szCs w:val="32"/>
          <w:highlight w:val="none"/>
          <w14:textFill>
            <w14:solidFill>
              <w14:schemeClr w14:val="tx1"/>
            </w14:solidFill>
          </w14:textFill>
        </w:rPr>
        <w:t>【促进中小微企业发展】</w:t>
      </w:r>
      <w:bookmarkEnd w:id="62"/>
      <w:bookmarkEnd w:id="63"/>
      <w:r>
        <w:rPr>
          <w:rFonts w:hint="eastAsia" w:ascii="仿宋" w:hAnsi="仿宋" w:eastAsia="仿宋" w:cs="仿宋"/>
          <w:color w:val="000000" w:themeColor="text1"/>
          <w:sz w:val="32"/>
          <w:szCs w:val="32"/>
          <w:highlight w:val="none"/>
          <w14:textFill>
            <w14:solidFill>
              <w14:schemeClr w14:val="tx1"/>
            </w14:solidFill>
          </w14:textFill>
        </w:rPr>
        <w:t>市、区人民政府应当建立</w:t>
      </w:r>
      <w:r>
        <w:rPr>
          <w:rFonts w:hint="eastAsia" w:ascii="仿宋" w:hAnsi="仿宋" w:eastAsia="仿宋" w:cs="仿宋"/>
          <w:color w:val="000000" w:themeColor="text1"/>
          <w:sz w:val="32"/>
          <w:szCs w:val="32"/>
          <w:highlight w:val="none"/>
          <w:lang w:eastAsia="zh-CN"/>
          <w14:textFill>
            <w14:solidFill>
              <w14:schemeClr w14:val="tx1"/>
            </w14:solidFill>
          </w14:textFill>
        </w:rPr>
        <w:t>健全</w:t>
      </w:r>
      <w:r>
        <w:rPr>
          <w:rFonts w:hint="eastAsia" w:ascii="仿宋" w:hAnsi="仿宋" w:eastAsia="仿宋" w:cs="仿宋"/>
          <w:color w:val="000000" w:themeColor="text1"/>
          <w:sz w:val="32"/>
          <w:szCs w:val="32"/>
          <w:highlight w:val="none"/>
          <w14:textFill>
            <w14:solidFill>
              <w14:schemeClr w14:val="tx1"/>
            </w14:solidFill>
          </w14:textFill>
        </w:rPr>
        <w:t>“一站式”中小微企业公共服务体系，为中小微企业提供政策咨询、人才培训、技术支持、投资融资、知识产权、财会税务、法律咨询等服务。</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市、区人民政府及有关部门应当完善对市场主体创新创业的扶持政策和激励措施，统筹安排各类支持创新创业的资金，发展创新创业孵化服务。鼓励和支持高等院校、科研机构、企业建设创业孵化基地、科技孵化器和众创空间，完善相关配套服务、降低市场主体创新创业成本。</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64" w:name="_Toc67919209"/>
      <w:bookmarkStart w:id="65" w:name="_Toc70090145"/>
      <w:r>
        <w:rPr>
          <w:rFonts w:hint="eastAsia" w:ascii="仿宋" w:hAnsi="仿宋" w:eastAsia="仿宋" w:cs="仿宋"/>
          <w:b/>
          <w:bCs/>
          <w:color w:val="000000" w:themeColor="text1"/>
          <w:sz w:val="32"/>
          <w:szCs w:val="32"/>
          <w:highlight w:val="none"/>
          <w:lang w:eastAsia="zh-CN"/>
          <w14:textFill>
            <w14:solidFill>
              <w14:schemeClr w14:val="tx1"/>
            </w14:solidFill>
          </w14:textFill>
        </w:rPr>
        <w:t>第二十四条</w:t>
      </w:r>
      <w:r>
        <w:rPr>
          <w:rFonts w:hint="eastAsia" w:ascii="仿宋" w:hAnsi="仿宋" w:eastAsia="仿宋" w:cs="仿宋"/>
          <w:b/>
          <w:bCs/>
          <w:color w:val="000000" w:themeColor="text1"/>
          <w:sz w:val="32"/>
          <w:szCs w:val="32"/>
          <w:highlight w:val="none"/>
          <w14:textFill>
            <w14:solidFill>
              <w14:schemeClr w14:val="tx1"/>
            </w14:solidFill>
          </w14:textFill>
        </w:rPr>
        <w:t>【保险】</w:t>
      </w:r>
      <w:bookmarkEnd w:id="64"/>
      <w:bookmarkEnd w:id="65"/>
      <w:r>
        <w:rPr>
          <w:rFonts w:hint="eastAsia" w:ascii="仿宋" w:hAnsi="仿宋" w:eastAsia="仿宋" w:cs="仿宋"/>
          <w:color w:val="000000" w:themeColor="text1"/>
          <w:sz w:val="32"/>
          <w:szCs w:val="32"/>
          <w:highlight w:val="none"/>
          <w14:textFill>
            <w14:solidFill>
              <w14:schemeClr w14:val="tx1"/>
            </w14:solidFill>
          </w14:textFill>
        </w:rPr>
        <w:t>设立不动产登记责任保险制度。</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新出让居住用地的</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应当将投保工程质量潜在缺陷保险列入土地出让合同。</w:t>
      </w:r>
      <w:r>
        <w:rPr>
          <w:rFonts w:hint="eastAsia" w:ascii="仿宋" w:hAnsi="仿宋" w:eastAsia="仿宋" w:cs="仿宋"/>
          <w:color w:val="000000" w:themeColor="text1"/>
          <w:sz w:val="32"/>
          <w:szCs w:val="32"/>
          <w:highlight w:val="none"/>
          <w:lang w:eastAsia="zh-CN"/>
          <w14:textFill>
            <w14:solidFill>
              <w14:schemeClr w14:val="tx1"/>
            </w14:solidFill>
          </w14:textFill>
        </w:rPr>
        <w:t>探索</w:t>
      </w:r>
      <w:r>
        <w:rPr>
          <w:rFonts w:hint="eastAsia" w:ascii="仿宋" w:hAnsi="仿宋" w:eastAsia="仿宋" w:cs="仿宋"/>
          <w:color w:val="000000" w:themeColor="text1"/>
          <w:sz w:val="32"/>
          <w:szCs w:val="32"/>
          <w:highlight w:val="none"/>
          <w14:textFill>
            <w14:solidFill>
              <w14:schemeClr w14:val="tx1"/>
            </w14:solidFill>
          </w14:textFill>
        </w:rPr>
        <w:t>新建商品房项目投保工程质量潜在缺陷保险。</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鼓励保险机构</w:t>
      </w:r>
      <w:r>
        <w:rPr>
          <w:rFonts w:hint="eastAsia" w:ascii="仿宋" w:hAnsi="仿宋" w:eastAsia="仿宋" w:cs="仿宋"/>
          <w:color w:val="000000" w:themeColor="text1"/>
          <w:sz w:val="32"/>
          <w:szCs w:val="32"/>
          <w:highlight w:val="none"/>
          <w:lang w:eastAsia="zh-CN"/>
          <w14:textFill>
            <w14:solidFill>
              <w14:schemeClr w14:val="tx1"/>
            </w14:solidFill>
          </w14:textFill>
        </w:rPr>
        <w:t>探索</w:t>
      </w:r>
      <w:r>
        <w:rPr>
          <w:rFonts w:hint="eastAsia" w:ascii="仿宋" w:hAnsi="仿宋" w:eastAsia="仿宋" w:cs="仿宋"/>
          <w:color w:val="000000" w:themeColor="text1"/>
          <w:sz w:val="32"/>
          <w:szCs w:val="32"/>
          <w:highlight w:val="none"/>
          <w14:textFill>
            <w14:solidFill>
              <w14:schemeClr w14:val="tx1"/>
            </w14:solidFill>
          </w14:textFill>
        </w:rPr>
        <w:t>出台断电</w:t>
      </w:r>
      <w:r>
        <w:rPr>
          <w:rFonts w:hint="eastAsia" w:ascii="仿宋" w:hAnsi="仿宋" w:eastAsia="仿宋" w:cs="仿宋"/>
          <w:color w:val="000000" w:themeColor="text1"/>
          <w:sz w:val="32"/>
          <w:szCs w:val="32"/>
          <w:highlight w:val="none"/>
          <w:lang w:eastAsia="zh-CN"/>
          <w14:textFill>
            <w14:solidFill>
              <w14:schemeClr w14:val="tx1"/>
            </w14:solidFill>
          </w14:textFill>
        </w:rPr>
        <w:t>、断水</w:t>
      </w:r>
      <w:r>
        <w:rPr>
          <w:rFonts w:hint="eastAsia" w:ascii="仿宋" w:hAnsi="仿宋" w:eastAsia="仿宋" w:cs="仿宋"/>
          <w:color w:val="000000" w:themeColor="text1"/>
          <w:sz w:val="32"/>
          <w:szCs w:val="32"/>
          <w:highlight w:val="none"/>
          <w14:textFill>
            <w14:solidFill>
              <w14:schemeClr w14:val="tx1"/>
            </w14:solidFill>
          </w14:textFill>
        </w:rPr>
        <w:t>赔偿险</w:t>
      </w:r>
      <w:r>
        <w:rPr>
          <w:rFonts w:hint="eastAsia" w:ascii="仿宋" w:hAnsi="仿宋" w:eastAsia="仿宋" w:cs="仿宋"/>
          <w:color w:val="000000" w:themeColor="text1"/>
          <w:sz w:val="32"/>
          <w:szCs w:val="32"/>
          <w:highlight w:val="none"/>
          <w:lang w:eastAsia="zh-CN"/>
          <w14:textFill>
            <w14:solidFill>
              <w14:schemeClr w14:val="tx1"/>
            </w14:solidFill>
          </w14:textFill>
        </w:rPr>
        <w:t>以及用</w:t>
      </w:r>
      <w:r>
        <w:rPr>
          <w:rFonts w:hint="eastAsia" w:ascii="仿宋" w:hAnsi="仿宋" w:eastAsia="仿宋" w:cs="仿宋"/>
          <w:color w:val="000000" w:themeColor="text1"/>
          <w:sz w:val="32"/>
          <w:szCs w:val="32"/>
          <w:highlight w:val="none"/>
          <w14:textFill>
            <w14:solidFill>
              <w14:schemeClr w14:val="tx1"/>
            </w14:solidFill>
          </w14:textFill>
        </w:rPr>
        <w:t>电</w:t>
      </w:r>
      <w:r>
        <w:rPr>
          <w:rFonts w:hint="eastAsia" w:ascii="仿宋" w:hAnsi="仿宋" w:eastAsia="仿宋" w:cs="仿宋"/>
          <w:color w:val="000000" w:themeColor="text1"/>
          <w:sz w:val="32"/>
          <w:szCs w:val="32"/>
          <w:highlight w:val="none"/>
          <w:lang w:eastAsia="zh-CN"/>
          <w14:textFill>
            <w14:solidFill>
              <w14:schemeClr w14:val="tx1"/>
            </w14:solidFill>
          </w14:textFill>
        </w:rPr>
        <w:t>、供水</w:t>
      </w:r>
      <w:r>
        <w:rPr>
          <w:rFonts w:hint="eastAsia" w:ascii="仿宋" w:hAnsi="仿宋" w:eastAsia="仿宋" w:cs="仿宋"/>
          <w:color w:val="000000" w:themeColor="text1"/>
          <w:sz w:val="32"/>
          <w:szCs w:val="32"/>
          <w:highlight w:val="none"/>
          <w14:textFill>
            <w14:solidFill>
              <w14:schemeClr w14:val="tx1"/>
            </w14:solidFill>
          </w14:textFill>
        </w:rPr>
        <w:t>设备故障修复险。</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二十五条【人力资源】</w:t>
      </w:r>
      <w:r>
        <w:rPr>
          <w:rFonts w:hint="eastAsia" w:ascii="仿宋" w:hAnsi="仿宋" w:eastAsia="仿宋" w:cs="仿宋"/>
          <w:color w:val="000000" w:themeColor="text1"/>
          <w:sz w:val="32"/>
          <w:szCs w:val="32"/>
          <w:highlight w:val="none"/>
          <w:lang w:val="en-US" w:eastAsia="zh-CN"/>
          <w14:textFill>
            <w14:solidFill>
              <w14:schemeClr w14:val="tx1"/>
            </w14:solidFill>
          </w14:textFill>
        </w:rPr>
        <w:t>市、区人民政府及有关部门应当完善人力资源管理服务，促进人力资源合理流动和优化配置，保障企业用工稳定；支持有需求的企业创新用工模式，开展共享用工、灵活用工，通过用工余缺调剂提高人力资源配置效率。</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市、区人民政府及有关部门应当创新人才工作机制，制定人才培养、选拔评价、激励保障等措施，加强人才引进、落户、交流、评价、培训、择业指导、教育咨询等便利化、专业化服务，落实高层次人才引进促进政策。</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市、区人民政府及有关部门应当</w:t>
      </w:r>
      <w:r>
        <w:rPr>
          <w:rFonts w:hint="eastAsia" w:ascii="仿宋" w:hAnsi="仿宋" w:eastAsia="仿宋" w:cs="仿宋"/>
          <w:color w:val="000000" w:themeColor="text1"/>
          <w:sz w:val="32"/>
          <w:szCs w:val="32"/>
          <w:highlight w:val="none"/>
          <w14:textFill>
            <w14:solidFill>
              <w14:schemeClr w14:val="tx1"/>
            </w14:solidFill>
          </w14:textFill>
        </w:rPr>
        <w:t>建立健全和谐劳动关系的协调机制，完善劳动关系群体性事件预防和应急处置机制，畅通劳动者维权渠道，促进劳动关系和谐稳定。</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66" w:name="_Toc70090147"/>
      <w:r>
        <w:rPr>
          <w:rFonts w:hint="eastAsia" w:ascii="仿宋" w:hAnsi="仿宋" w:eastAsia="仿宋" w:cs="仿宋"/>
          <w:b/>
          <w:bCs/>
          <w:color w:val="000000" w:themeColor="text1"/>
          <w:sz w:val="32"/>
          <w:szCs w:val="32"/>
          <w:highlight w:val="none"/>
          <w:lang w:eastAsia="zh-CN"/>
          <w14:textFill>
            <w14:solidFill>
              <w14:schemeClr w14:val="tx1"/>
            </w14:solidFill>
          </w14:textFill>
        </w:rPr>
        <w:t>第二十六条</w:t>
      </w:r>
      <w:r>
        <w:rPr>
          <w:rFonts w:hint="eastAsia" w:ascii="仿宋" w:hAnsi="仿宋" w:eastAsia="仿宋" w:cs="仿宋"/>
          <w:b/>
          <w:bCs/>
          <w:color w:val="000000" w:themeColor="text1"/>
          <w:sz w:val="32"/>
          <w:szCs w:val="32"/>
          <w:highlight w:val="none"/>
          <w14:textFill>
            <w14:solidFill>
              <w14:schemeClr w14:val="tx1"/>
            </w14:solidFill>
          </w14:textFill>
        </w:rPr>
        <w:t>【企业退出】</w:t>
      </w:r>
      <w:bookmarkEnd w:id="66"/>
      <w:r>
        <w:rPr>
          <w:rFonts w:hint="eastAsia" w:ascii="仿宋" w:hAnsi="仿宋" w:eastAsia="仿宋" w:cs="仿宋"/>
          <w:color w:val="000000" w:themeColor="text1"/>
          <w:sz w:val="32"/>
          <w:szCs w:val="32"/>
          <w:highlight w:val="none"/>
          <w14:textFill>
            <w14:solidFill>
              <w14:schemeClr w14:val="tx1"/>
            </w14:solidFill>
          </w14:textFill>
        </w:rPr>
        <w:t>企业可以通过厦门市商事主体“一网通”平台申请注销，由市场监督管理、税务、人力资源和社会保障等部门分类处置、同步办理、一次办结相关事项。市场监督管理部门及有关部门应当优化企业普通注销和简易注销登记程序</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税务机关应当优化企业清税程序。</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企业、农民专业合作社领取营业执照后未开展经营活动、申请注销登记前未发生债权债务或者债权债务清算完结的，可以</w:t>
      </w:r>
      <w:r>
        <w:rPr>
          <w:rFonts w:hint="eastAsia" w:ascii="仿宋" w:hAnsi="仿宋" w:eastAsia="仿宋" w:cs="仿宋"/>
          <w:color w:val="000000" w:themeColor="text1"/>
          <w:sz w:val="32"/>
          <w:szCs w:val="32"/>
          <w:highlight w:val="none"/>
          <w:lang w:eastAsia="zh-CN"/>
          <w14:textFill>
            <w14:solidFill>
              <w14:schemeClr w14:val="tx1"/>
            </w14:solidFill>
          </w14:textFill>
        </w:rPr>
        <w:t>适用简易注销登记程序。企业、农民专业合作社</w:t>
      </w:r>
      <w:r>
        <w:rPr>
          <w:rFonts w:hint="eastAsia" w:ascii="仿宋" w:hAnsi="仿宋" w:eastAsia="仿宋" w:cs="仿宋"/>
          <w:color w:val="000000" w:themeColor="text1"/>
          <w:sz w:val="32"/>
          <w:szCs w:val="32"/>
          <w:highlight w:val="none"/>
          <w14:textFill>
            <w14:solidFill>
              <w14:schemeClr w14:val="tx1"/>
            </w14:solidFill>
          </w14:textFill>
        </w:rPr>
        <w:t>通过厦门市商事主体登记及信用信息公示平台进行公告，公告时限为二十日。公告期届满且无异议的，</w:t>
      </w:r>
      <w:r>
        <w:rPr>
          <w:rFonts w:hint="eastAsia" w:ascii="仿宋" w:hAnsi="仿宋" w:eastAsia="仿宋" w:cs="仿宋"/>
          <w:color w:val="000000" w:themeColor="text1"/>
          <w:sz w:val="32"/>
          <w:szCs w:val="32"/>
          <w:highlight w:val="none"/>
          <w:lang w:eastAsia="zh-CN"/>
          <w14:textFill>
            <w14:solidFill>
              <w14:schemeClr w14:val="tx1"/>
            </w14:solidFill>
          </w14:textFill>
        </w:rPr>
        <w:t>商事</w:t>
      </w:r>
      <w:r>
        <w:rPr>
          <w:rFonts w:hint="eastAsia" w:ascii="仿宋" w:hAnsi="仿宋" w:eastAsia="仿宋" w:cs="仿宋"/>
          <w:color w:val="000000" w:themeColor="text1"/>
          <w:sz w:val="32"/>
          <w:szCs w:val="32"/>
          <w:highlight w:val="none"/>
          <w14:textFill>
            <w14:solidFill>
              <w14:schemeClr w14:val="tx1"/>
            </w14:solidFill>
          </w14:textFill>
        </w:rPr>
        <w:t>登记机关应当</w:t>
      </w:r>
      <w:r>
        <w:rPr>
          <w:rFonts w:hint="eastAsia" w:ascii="仿宋" w:hAnsi="仿宋" w:eastAsia="仿宋" w:cs="仿宋"/>
          <w:color w:val="000000" w:themeColor="text1"/>
          <w:sz w:val="32"/>
          <w:szCs w:val="32"/>
          <w:highlight w:val="none"/>
          <w:lang w:eastAsia="zh-CN"/>
          <w14:textFill>
            <w14:solidFill>
              <w14:schemeClr w14:val="tx1"/>
            </w14:solidFill>
          </w14:textFill>
        </w:rPr>
        <w:t>依</w:t>
      </w:r>
      <w:r>
        <w:rPr>
          <w:rFonts w:hint="eastAsia" w:ascii="仿宋" w:hAnsi="仿宋" w:eastAsia="仿宋" w:cs="仿宋"/>
          <w:color w:val="000000" w:themeColor="text1"/>
          <w:sz w:val="32"/>
          <w:szCs w:val="32"/>
          <w:highlight w:val="none"/>
          <w14:textFill>
            <w14:solidFill>
              <w14:schemeClr w14:val="tx1"/>
            </w14:solidFill>
          </w14:textFill>
        </w:rPr>
        <w:t>企业、农民专业合作社</w:t>
      </w:r>
      <w:r>
        <w:rPr>
          <w:rFonts w:hint="eastAsia" w:ascii="仿宋" w:hAnsi="仿宋" w:eastAsia="仿宋" w:cs="仿宋"/>
          <w:color w:val="000000" w:themeColor="text1"/>
          <w:sz w:val="32"/>
          <w:szCs w:val="32"/>
          <w:highlight w:val="none"/>
          <w:lang w:eastAsia="zh-CN"/>
          <w14:textFill>
            <w14:solidFill>
              <w14:schemeClr w14:val="tx1"/>
            </w14:solidFill>
          </w14:textFill>
        </w:rPr>
        <w:t>申请为其</w:t>
      </w:r>
      <w:r>
        <w:rPr>
          <w:rFonts w:hint="eastAsia" w:ascii="仿宋" w:hAnsi="仿宋" w:eastAsia="仿宋" w:cs="仿宋"/>
          <w:color w:val="000000" w:themeColor="text1"/>
          <w:sz w:val="32"/>
          <w:szCs w:val="32"/>
          <w:highlight w:val="none"/>
          <w14:textFill>
            <w14:solidFill>
              <w14:schemeClr w14:val="tx1"/>
            </w14:solidFill>
          </w14:textFill>
        </w:rPr>
        <w:t>办理注销登记。</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人民法院</w:t>
      </w:r>
      <w:r>
        <w:rPr>
          <w:rFonts w:hint="eastAsia" w:ascii="仿宋" w:hAnsi="仿宋" w:eastAsia="仿宋" w:cs="仿宋"/>
          <w:color w:val="000000" w:themeColor="text1"/>
          <w:sz w:val="32"/>
          <w:szCs w:val="32"/>
          <w:highlight w:val="none"/>
          <w:lang w:eastAsia="zh-CN"/>
          <w14:textFill>
            <w14:solidFill>
              <w14:schemeClr w14:val="tx1"/>
            </w14:solidFill>
          </w14:textFill>
        </w:rPr>
        <w:t>裁定</w:t>
      </w:r>
      <w:r>
        <w:rPr>
          <w:rFonts w:hint="eastAsia" w:ascii="仿宋" w:hAnsi="仿宋" w:eastAsia="仿宋" w:cs="仿宋"/>
          <w:color w:val="000000" w:themeColor="text1"/>
          <w:sz w:val="32"/>
          <w:szCs w:val="32"/>
          <w:highlight w:val="none"/>
          <w14:textFill>
            <w14:solidFill>
              <w14:schemeClr w14:val="tx1"/>
            </w14:solidFill>
          </w14:textFill>
        </w:rPr>
        <w:t>终结破产程序</w:t>
      </w:r>
      <w:r>
        <w:rPr>
          <w:rFonts w:hint="eastAsia" w:ascii="仿宋" w:hAnsi="仿宋" w:eastAsia="仿宋" w:cs="仿宋"/>
          <w:color w:val="000000" w:themeColor="text1"/>
          <w:sz w:val="32"/>
          <w:szCs w:val="32"/>
          <w:highlight w:val="none"/>
          <w:lang w:eastAsia="zh-CN"/>
          <w14:textFill>
            <w14:solidFill>
              <w14:schemeClr w14:val="tx1"/>
            </w14:solidFill>
          </w14:textFill>
        </w:rPr>
        <w:t>或者</w:t>
      </w:r>
      <w:r>
        <w:rPr>
          <w:rFonts w:hint="eastAsia" w:ascii="仿宋" w:hAnsi="仿宋" w:eastAsia="仿宋" w:cs="仿宋"/>
          <w:color w:val="000000" w:themeColor="text1"/>
          <w:sz w:val="32"/>
          <w:szCs w:val="32"/>
          <w:highlight w:val="none"/>
          <w14:textFill>
            <w14:solidFill>
              <w14:schemeClr w14:val="tx1"/>
            </w14:solidFill>
          </w14:textFill>
        </w:rPr>
        <w:t>强制清算</w:t>
      </w:r>
      <w:r>
        <w:rPr>
          <w:rFonts w:hint="eastAsia" w:ascii="仿宋" w:hAnsi="仿宋" w:eastAsia="仿宋" w:cs="仿宋"/>
          <w:color w:val="000000" w:themeColor="text1"/>
          <w:sz w:val="32"/>
          <w:szCs w:val="32"/>
          <w:highlight w:val="none"/>
          <w:lang w:eastAsia="zh-CN"/>
          <w14:textFill>
            <w14:solidFill>
              <w14:schemeClr w14:val="tx1"/>
            </w14:solidFill>
          </w14:textFill>
        </w:rPr>
        <w:t>程序后，破产管理人或者清算组持</w:t>
      </w:r>
      <w:r>
        <w:rPr>
          <w:rFonts w:hint="eastAsia" w:ascii="仿宋" w:hAnsi="仿宋" w:eastAsia="仿宋" w:cs="仿宋"/>
          <w:color w:val="000000" w:themeColor="text1"/>
          <w:sz w:val="32"/>
          <w:szCs w:val="32"/>
          <w:highlight w:val="none"/>
          <w14:textFill>
            <w14:solidFill>
              <w14:schemeClr w14:val="tx1"/>
            </w14:solidFill>
          </w14:textFill>
        </w:rPr>
        <w:t>终结</w:t>
      </w:r>
      <w:r>
        <w:rPr>
          <w:rFonts w:hint="eastAsia" w:ascii="仿宋" w:hAnsi="仿宋" w:eastAsia="仿宋" w:cs="仿宋"/>
          <w:color w:val="000000" w:themeColor="text1"/>
          <w:sz w:val="32"/>
          <w:szCs w:val="32"/>
          <w:highlight w:val="none"/>
          <w:lang w:eastAsia="zh-CN"/>
          <w14:textFill>
            <w14:solidFill>
              <w14:schemeClr w14:val="tx1"/>
            </w14:solidFill>
          </w14:textFill>
        </w:rPr>
        <w:t>程序</w:t>
      </w:r>
      <w:r>
        <w:rPr>
          <w:rFonts w:hint="eastAsia" w:ascii="仿宋" w:hAnsi="仿宋" w:eastAsia="仿宋" w:cs="仿宋"/>
          <w:color w:val="000000" w:themeColor="text1"/>
          <w:sz w:val="32"/>
          <w:szCs w:val="32"/>
          <w:highlight w:val="none"/>
          <w14:textFill>
            <w14:solidFill>
              <w14:schemeClr w14:val="tx1"/>
            </w14:solidFill>
          </w14:textFill>
        </w:rPr>
        <w:t>裁定文书</w:t>
      </w:r>
      <w:r>
        <w:rPr>
          <w:rFonts w:hint="eastAsia" w:ascii="仿宋" w:hAnsi="仿宋" w:eastAsia="仿宋" w:cs="仿宋"/>
          <w:color w:val="000000" w:themeColor="text1"/>
          <w:sz w:val="32"/>
          <w:szCs w:val="32"/>
          <w:highlight w:val="none"/>
          <w:lang w:eastAsia="zh-CN"/>
          <w14:textFill>
            <w14:solidFill>
              <w14:schemeClr w14:val="tx1"/>
            </w14:solidFill>
          </w14:textFill>
        </w:rPr>
        <w:t>申请</w:t>
      </w:r>
      <w:r>
        <w:rPr>
          <w:rFonts w:hint="eastAsia" w:ascii="仿宋" w:hAnsi="仿宋" w:eastAsia="仿宋" w:cs="仿宋"/>
          <w:color w:val="000000" w:themeColor="text1"/>
          <w:sz w:val="32"/>
          <w:szCs w:val="32"/>
          <w:highlight w:val="none"/>
          <w14:textFill>
            <w14:solidFill>
              <w14:schemeClr w14:val="tx1"/>
            </w14:solidFill>
          </w14:textFill>
        </w:rPr>
        <w:t>注销</w:t>
      </w:r>
      <w:r>
        <w:rPr>
          <w:rFonts w:hint="eastAsia" w:ascii="仿宋" w:hAnsi="仿宋" w:eastAsia="仿宋" w:cs="仿宋"/>
          <w:color w:val="000000" w:themeColor="text1"/>
          <w:sz w:val="32"/>
          <w:szCs w:val="32"/>
          <w:highlight w:val="none"/>
          <w:lang w:eastAsia="zh-CN"/>
          <w14:textFill>
            <w14:solidFill>
              <w14:schemeClr w14:val="tx1"/>
            </w14:solidFill>
          </w14:textFill>
        </w:rPr>
        <w:t>登记</w:t>
      </w:r>
      <w:r>
        <w:rPr>
          <w:rFonts w:hint="eastAsia" w:ascii="仿宋" w:hAnsi="仿宋" w:eastAsia="仿宋" w:cs="仿宋"/>
          <w:color w:val="000000" w:themeColor="text1"/>
          <w:sz w:val="32"/>
          <w:szCs w:val="32"/>
          <w:highlight w:val="none"/>
          <w14:textFill>
            <w14:solidFill>
              <w14:schemeClr w14:val="tx1"/>
            </w14:solidFill>
          </w14:textFill>
        </w:rPr>
        <w:t>的，</w:t>
      </w:r>
      <w:r>
        <w:rPr>
          <w:rFonts w:hint="eastAsia" w:ascii="仿宋" w:hAnsi="仿宋" w:eastAsia="仿宋" w:cs="仿宋"/>
          <w:color w:val="000000" w:themeColor="text1"/>
          <w:sz w:val="32"/>
          <w:szCs w:val="32"/>
          <w:highlight w:val="none"/>
          <w:lang w:eastAsia="zh-CN"/>
          <w14:textFill>
            <w14:solidFill>
              <w14:schemeClr w14:val="tx1"/>
            </w14:solidFill>
          </w14:textFill>
        </w:rPr>
        <w:t>商事</w:t>
      </w:r>
      <w:r>
        <w:rPr>
          <w:rFonts w:hint="eastAsia" w:ascii="仿宋" w:hAnsi="仿宋" w:eastAsia="仿宋" w:cs="仿宋"/>
          <w:color w:val="000000" w:themeColor="text1"/>
          <w:sz w:val="32"/>
          <w:szCs w:val="32"/>
          <w:highlight w:val="none"/>
          <w14:textFill>
            <w14:solidFill>
              <w14:schemeClr w14:val="tx1"/>
            </w14:solidFill>
          </w14:textFill>
        </w:rPr>
        <w:t>登记机关应当</w:t>
      </w:r>
      <w:r>
        <w:rPr>
          <w:rFonts w:hint="eastAsia" w:ascii="仿宋" w:hAnsi="仿宋" w:eastAsia="仿宋" w:cs="仿宋"/>
          <w:color w:val="000000" w:themeColor="text1"/>
          <w:sz w:val="32"/>
          <w:szCs w:val="32"/>
          <w:highlight w:val="none"/>
          <w:lang w:eastAsia="zh-CN"/>
          <w14:textFill>
            <w14:solidFill>
              <w14:schemeClr w14:val="tx1"/>
            </w14:solidFill>
          </w14:textFill>
        </w:rPr>
        <w:t>适用简易注销登记程序</w:t>
      </w:r>
      <w:r>
        <w:rPr>
          <w:rFonts w:hint="eastAsia" w:ascii="仿宋" w:hAnsi="仿宋" w:eastAsia="仿宋" w:cs="仿宋"/>
          <w:color w:val="000000" w:themeColor="text1"/>
          <w:sz w:val="32"/>
          <w:szCs w:val="32"/>
          <w:highlight w:val="none"/>
          <w14:textFill>
            <w14:solidFill>
              <w14:schemeClr w14:val="tx1"/>
            </w14:solidFill>
          </w14:textFill>
        </w:rPr>
        <w:t>予以办理。</w:t>
      </w:r>
      <w:bookmarkStart w:id="67" w:name="_Toc67919211"/>
      <w:bookmarkStart w:id="68" w:name="_Toc70090148"/>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二十七条【协会商会】</w:t>
      </w:r>
      <w:r>
        <w:rPr>
          <w:rFonts w:hint="eastAsia" w:ascii="仿宋" w:hAnsi="仿宋" w:eastAsia="仿宋" w:cs="仿宋"/>
          <w:color w:val="000000" w:themeColor="text1"/>
          <w:sz w:val="32"/>
          <w:szCs w:val="32"/>
          <w:highlight w:val="none"/>
          <w:lang w:val="en-US" w:eastAsia="zh-CN"/>
          <w14:textFill>
            <w14:solidFill>
              <w14:schemeClr w14:val="tx1"/>
            </w14:solidFill>
          </w14:textFill>
        </w:rPr>
        <w:t>行业协会、商会应当加强行业指导和自律管理，反映企业和行业诉求，为市场主体提供信息咨询、宣传培训、市场拓展、权益保护、纠纷处理等服务，加强对行业运行态势的研究分析和预警。</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行业协会、商会应当严格执行国家有关收费、评比、认定等规定，不得组织市场主体达成垄断协议，排除、限制竞争。</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第三章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政务环境</w:t>
      </w:r>
      <w:bookmarkEnd w:id="67"/>
      <w:bookmarkEnd w:id="68"/>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69" w:name="_Toc70090153"/>
      <w:bookmarkStart w:id="70" w:name="_Toc67919216"/>
      <w:bookmarkStart w:id="71" w:name="_Toc67919212"/>
      <w:bookmarkStart w:id="72" w:name="_Toc70090149"/>
      <w:r>
        <w:rPr>
          <w:rFonts w:hint="eastAsia" w:ascii="仿宋" w:hAnsi="仿宋" w:eastAsia="仿宋" w:cs="仿宋"/>
          <w:b/>
          <w:bCs/>
          <w:color w:val="000000" w:themeColor="text1"/>
          <w:sz w:val="32"/>
          <w:szCs w:val="32"/>
          <w:highlight w:val="none"/>
          <w:lang w:eastAsia="zh-CN"/>
          <w14:textFill>
            <w14:solidFill>
              <w14:schemeClr w14:val="tx1"/>
            </w14:solidFill>
          </w14:textFill>
        </w:rPr>
        <w:t>第二十八条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政务服务</w:t>
      </w:r>
      <w:r>
        <w:rPr>
          <w:rFonts w:hint="eastAsia" w:ascii="仿宋" w:hAnsi="仿宋" w:eastAsia="仿宋" w:cs="仿宋"/>
          <w:b/>
          <w:bCs/>
          <w:color w:val="000000" w:themeColor="text1"/>
          <w:sz w:val="32"/>
          <w:szCs w:val="32"/>
          <w:highlight w:val="none"/>
          <w14:textFill>
            <w14:solidFill>
              <w14:schemeClr w14:val="tx1"/>
            </w14:solidFill>
          </w14:textFill>
        </w:rPr>
        <w:t>清单】</w:t>
      </w:r>
      <w:bookmarkEnd w:id="69"/>
      <w:bookmarkEnd w:id="70"/>
      <w:r>
        <w:rPr>
          <w:rFonts w:hint="eastAsia" w:ascii="仿宋" w:hAnsi="仿宋" w:eastAsia="仿宋" w:cs="仿宋"/>
          <w:color w:val="000000" w:themeColor="text1"/>
          <w:sz w:val="32"/>
          <w:szCs w:val="32"/>
          <w:highlight w:val="none"/>
          <w:lang w:eastAsia="zh-CN"/>
          <w14:textFill>
            <w14:solidFill>
              <w14:schemeClr w14:val="tx1"/>
            </w14:solidFill>
          </w14:textFill>
        </w:rPr>
        <w:t>本市</w:t>
      </w:r>
      <w:r>
        <w:rPr>
          <w:rFonts w:hint="eastAsia" w:ascii="仿宋" w:hAnsi="仿宋" w:eastAsia="仿宋" w:cs="仿宋"/>
          <w:color w:val="000000" w:themeColor="text1"/>
          <w:sz w:val="32"/>
          <w:szCs w:val="32"/>
          <w:highlight w:val="none"/>
          <w14:textFill>
            <w14:solidFill>
              <w14:schemeClr w14:val="tx1"/>
            </w14:solidFill>
          </w14:textFill>
        </w:rPr>
        <w:t>政务服务事项实行清单管理制度</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市、区人民政府负责行政审批制度改革工作的</w:t>
      </w:r>
      <w:r>
        <w:rPr>
          <w:rFonts w:hint="eastAsia" w:ascii="仿宋" w:hAnsi="仿宋" w:eastAsia="仿宋" w:cs="仿宋"/>
          <w:color w:val="000000" w:themeColor="text1"/>
          <w:sz w:val="32"/>
          <w:szCs w:val="32"/>
          <w:highlight w:val="none"/>
          <w:lang w:eastAsia="zh-CN"/>
          <w14:textFill>
            <w14:solidFill>
              <w14:schemeClr w14:val="tx1"/>
            </w14:solidFill>
          </w14:textFill>
        </w:rPr>
        <w:t>机构和行政审批管理部门</w:t>
      </w:r>
      <w:r>
        <w:rPr>
          <w:rFonts w:hint="eastAsia" w:ascii="仿宋" w:hAnsi="仿宋" w:eastAsia="仿宋" w:cs="仿宋"/>
          <w:color w:val="000000" w:themeColor="text1"/>
          <w:sz w:val="32"/>
          <w:szCs w:val="32"/>
          <w:highlight w:val="none"/>
          <w14:textFill>
            <w14:solidFill>
              <w14:schemeClr w14:val="tx1"/>
            </w14:solidFill>
          </w14:textFill>
        </w:rPr>
        <w:t>负责牵头指导同级人民政府有关部门编制政务服务事项清单</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推动有关部门在全国一体化在线政务平台集中公布政务服务事项清单和办事指南，</w:t>
      </w:r>
      <w:r>
        <w:rPr>
          <w:rFonts w:hint="eastAsia" w:ascii="仿宋" w:hAnsi="仿宋" w:eastAsia="仿宋" w:cs="仿宋"/>
          <w:color w:val="000000" w:themeColor="text1"/>
          <w:sz w:val="32"/>
          <w:szCs w:val="32"/>
          <w:highlight w:val="none"/>
          <w:lang w:eastAsia="zh-CN"/>
          <w14:textFill>
            <w14:solidFill>
              <w14:schemeClr w14:val="tx1"/>
            </w14:solidFill>
          </w14:textFill>
        </w:rPr>
        <w:t>并</w:t>
      </w:r>
      <w:r>
        <w:rPr>
          <w:rFonts w:hint="eastAsia" w:ascii="仿宋" w:hAnsi="仿宋" w:eastAsia="仿宋" w:cs="仿宋"/>
          <w:color w:val="000000" w:themeColor="text1"/>
          <w:sz w:val="32"/>
          <w:szCs w:val="32"/>
          <w:highlight w:val="none"/>
          <w14:textFill>
            <w14:solidFill>
              <w14:schemeClr w14:val="tx1"/>
            </w14:solidFill>
          </w14:textFill>
        </w:rPr>
        <w:t>对公布的清单和办事指南实施动态管理。</w:t>
      </w:r>
    </w:p>
    <w:bookmarkEnd w:id="71"/>
    <w:bookmarkEnd w:id="72"/>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73" w:name="_Toc67919213"/>
      <w:bookmarkStart w:id="74" w:name="_Toc70090150"/>
      <w:r>
        <w:rPr>
          <w:rFonts w:hint="eastAsia" w:ascii="仿宋" w:hAnsi="仿宋" w:eastAsia="仿宋" w:cs="仿宋"/>
          <w:b/>
          <w:bCs/>
          <w:color w:val="000000" w:themeColor="text1"/>
          <w:sz w:val="32"/>
          <w:szCs w:val="32"/>
          <w:highlight w:val="none"/>
          <w:lang w:eastAsia="zh-CN"/>
          <w14:textFill>
            <w14:solidFill>
              <w14:schemeClr w14:val="tx1"/>
            </w14:solidFill>
          </w14:textFill>
        </w:rPr>
        <w:t>第二十九条</w:t>
      </w:r>
      <w:r>
        <w:rPr>
          <w:rFonts w:hint="eastAsia" w:ascii="仿宋" w:hAnsi="仿宋" w:eastAsia="仿宋" w:cs="仿宋"/>
          <w:b/>
          <w:bCs/>
          <w:color w:val="000000" w:themeColor="text1"/>
          <w:sz w:val="32"/>
          <w:szCs w:val="32"/>
          <w:highlight w:val="none"/>
          <w14:textFill>
            <w14:solidFill>
              <w14:schemeClr w14:val="tx1"/>
            </w14:solidFill>
          </w14:textFill>
        </w:rPr>
        <w:t>【政务服务标准】</w:t>
      </w:r>
      <w:bookmarkEnd w:id="73"/>
      <w:bookmarkEnd w:id="74"/>
      <w:r>
        <w:rPr>
          <w:rFonts w:hint="eastAsia" w:ascii="仿宋" w:hAnsi="仿宋" w:eastAsia="仿宋" w:cs="仿宋"/>
          <w:color w:val="000000" w:themeColor="text1"/>
          <w:sz w:val="32"/>
          <w:szCs w:val="32"/>
          <w:highlight w:val="none"/>
          <w:lang w:eastAsia="zh-CN"/>
          <w14:textFill>
            <w14:solidFill>
              <w14:schemeClr w14:val="tx1"/>
            </w14:solidFill>
          </w14:textFill>
        </w:rPr>
        <w:t>有</w:t>
      </w:r>
      <w:r>
        <w:rPr>
          <w:rFonts w:hint="eastAsia" w:ascii="仿宋" w:hAnsi="仿宋" w:eastAsia="仿宋" w:cs="仿宋"/>
          <w:color w:val="000000" w:themeColor="text1"/>
          <w:sz w:val="32"/>
          <w:szCs w:val="32"/>
          <w:highlight w:val="none"/>
          <w14:textFill>
            <w14:solidFill>
              <w14:schemeClr w14:val="tx1"/>
            </w14:solidFill>
          </w14:textFill>
        </w:rPr>
        <w:t>关部门应当推进政务服务标准体系建设，细化政务服务标准规范，编制政务服务事项办事指南，明确事项办理条件、办事材料、办理流程等内容及其格式的具体要求。办事指南规定的申请材料不得含有兜底条款，</w:t>
      </w:r>
      <w:r>
        <w:rPr>
          <w:rFonts w:hint="eastAsia" w:ascii="仿宋" w:hAnsi="仿宋" w:eastAsia="仿宋" w:cs="仿宋"/>
          <w:color w:val="000000" w:themeColor="text1"/>
          <w:sz w:val="32"/>
          <w:szCs w:val="32"/>
          <w:highlight w:val="none"/>
          <w:lang w:eastAsia="zh-CN"/>
          <w14:textFill>
            <w14:solidFill>
              <w14:schemeClr w14:val="tx1"/>
            </w14:solidFill>
          </w14:textFill>
        </w:rPr>
        <w:t>线上办理和线下办理标准应当一致。</w:t>
      </w:r>
      <w:r>
        <w:rPr>
          <w:rFonts w:hint="eastAsia" w:ascii="仿宋" w:hAnsi="仿宋" w:eastAsia="仿宋" w:cs="仿宋"/>
          <w:color w:val="000000" w:themeColor="text1"/>
          <w:sz w:val="32"/>
          <w:szCs w:val="32"/>
          <w:highlight w:val="none"/>
          <w14:textFill>
            <w14:solidFill>
              <w14:schemeClr w14:val="tx1"/>
            </w14:solidFill>
          </w14:textFill>
        </w:rPr>
        <w:t>有关部门不得要求市场主体提供办事指南规定之外的申请材料，不得有办事指南要求以外的其他要求。</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75" w:name="_Toc67919214"/>
      <w:bookmarkStart w:id="76" w:name="_Toc70090151"/>
      <w:r>
        <w:rPr>
          <w:rFonts w:hint="eastAsia" w:ascii="仿宋" w:hAnsi="仿宋" w:eastAsia="仿宋" w:cs="仿宋"/>
          <w:b/>
          <w:bCs/>
          <w:color w:val="000000" w:themeColor="text1"/>
          <w:sz w:val="32"/>
          <w:szCs w:val="32"/>
          <w:highlight w:val="none"/>
          <w:lang w:eastAsia="zh-CN"/>
          <w14:textFill>
            <w14:solidFill>
              <w14:schemeClr w14:val="tx1"/>
            </w14:solidFill>
          </w14:textFill>
        </w:rPr>
        <w:t>第三十条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行政</w:t>
      </w:r>
      <w:r>
        <w:rPr>
          <w:rFonts w:hint="eastAsia" w:ascii="仿宋" w:hAnsi="仿宋" w:eastAsia="仿宋" w:cs="仿宋"/>
          <w:b/>
          <w:bCs/>
          <w:color w:val="000000" w:themeColor="text1"/>
          <w:sz w:val="32"/>
          <w:szCs w:val="32"/>
          <w:highlight w:val="none"/>
          <w14:textFill>
            <w14:solidFill>
              <w14:schemeClr w14:val="tx1"/>
            </w14:solidFill>
          </w14:textFill>
        </w:rPr>
        <w:t>服务中心】</w:t>
      </w:r>
      <w:bookmarkEnd w:id="75"/>
      <w:bookmarkEnd w:id="76"/>
      <w:r>
        <w:rPr>
          <w:rFonts w:hint="eastAsia" w:ascii="仿宋" w:hAnsi="仿宋" w:eastAsia="仿宋" w:cs="仿宋"/>
          <w:color w:val="000000" w:themeColor="text1"/>
          <w:sz w:val="32"/>
          <w:szCs w:val="32"/>
          <w:highlight w:val="none"/>
          <w:lang w:eastAsia="zh-CN"/>
          <w14:textFill>
            <w14:solidFill>
              <w14:schemeClr w14:val="tx1"/>
            </w14:solidFill>
          </w14:textFill>
        </w:rPr>
        <w:t>本市</w:t>
      </w:r>
      <w:r>
        <w:rPr>
          <w:rFonts w:hint="eastAsia" w:ascii="仿宋" w:hAnsi="仿宋" w:eastAsia="仿宋" w:cs="仿宋"/>
          <w:color w:val="000000" w:themeColor="text1"/>
          <w:sz w:val="32"/>
          <w:szCs w:val="32"/>
          <w:highlight w:val="none"/>
          <w14:textFill>
            <w14:solidFill>
              <w14:schemeClr w14:val="tx1"/>
            </w14:solidFill>
          </w14:textFill>
        </w:rPr>
        <w:t>规范建设市</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区行政服务中心</w:t>
      </w:r>
      <w:r>
        <w:rPr>
          <w:rFonts w:hint="eastAsia" w:ascii="仿宋" w:hAnsi="仿宋" w:eastAsia="仿宋" w:cs="仿宋"/>
          <w:color w:val="000000" w:themeColor="text1"/>
          <w:sz w:val="32"/>
          <w:szCs w:val="32"/>
          <w:highlight w:val="none"/>
          <w:lang w:eastAsia="zh-CN"/>
          <w14:textFill>
            <w14:solidFill>
              <w14:schemeClr w14:val="tx1"/>
            </w14:solidFill>
          </w14:textFill>
        </w:rPr>
        <w:t>和分中心，实行政务集中服务。</w:t>
      </w:r>
      <w:r>
        <w:rPr>
          <w:rFonts w:hint="eastAsia" w:ascii="仿宋" w:hAnsi="仿宋" w:eastAsia="仿宋" w:cs="仿宋"/>
          <w:color w:val="000000" w:themeColor="text1"/>
          <w:sz w:val="32"/>
          <w:szCs w:val="32"/>
          <w:highlight w:val="none"/>
          <w14:textFill>
            <w14:solidFill>
              <w14:schemeClr w14:val="tx1"/>
            </w14:solidFill>
          </w14:textFill>
        </w:rPr>
        <w:t>与</w:t>
      </w:r>
      <w:r>
        <w:rPr>
          <w:rFonts w:hint="eastAsia" w:ascii="仿宋" w:hAnsi="仿宋" w:eastAsia="仿宋" w:cs="仿宋"/>
          <w:color w:val="000000" w:themeColor="text1"/>
          <w:sz w:val="32"/>
          <w:szCs w:val="32"/>
          <w:highlight w:val="none"/>
          <w:lang w:eastAsia="zh-CN"/>
          <w14:textFill>
            <w14:solidFill>
              <w14:schemeClr w14:val="tx1"/>
            </w14:solidFill>
          </w14:textFill>
        </w:rPr>
        <w:t>市场主体</w:t>
      </w:r>
      <w:r>
        <w:rPr>
          <w:rFonts w:hint="eastAsia" w:ascii="仿宋" w:hAnsi="仿宋" w:eastAsia="仿宋" w:cs="仿宋"/>
          <w:color w:val="000000" w:themeColor="text1"/>
          <w:sz w:val="32"/>
          <w:szCs w:val="32"/>
          <w:highlight w:val="none"/>
          <w14:textFill>
            <w14:solidFill>
              <w14:schemeClr w14:val="tx1"/>
            </w14:solidFill>
          </w14:textFill>
        </w:rPr>
        <w:t>密切相关的行政许可、行政确认、行政给付、行政奖励</w:t>
      </w:r>
      <w:r>
        <w:rPr>
          <w:rFonts w:hint="eastAsia" w:ascii="仿宋" w:hAnsi="仿宋" w:eastAsia="仿宋" w:cs="仿宋"/>
          <w:color w:val="000000" w:themeColor="text1"/>
          <w:sz w:val="32"/>
          <w:szCs w:val="32"/>
          <w:highlight w:val="none"/>
          <w:lang w:eastAsia="zh-CN"/>
          <w14:textFill>
            <w14:solidFill>
              <w14:schemeClr w14:val="tx1"/>
            </w14:solidFill>
          </w14:textFill>
        </w:rPr>
        <w:t>、行政裁决以及其他行政权力和公共服务事项</w:t>
      </w:r>
      <w:r>
        <w:rPr>
          <w:rFonts w:hint="eastAsia" w:ascii="仿宋" w:hAnsi="仿宋" w:eastAsia="仿宋" w:cs="仿宋"/>
          <w:color w:val="000000" w:themeColor="text1"/>
          <w:sz w:val="32"/>
          <w:szCs w:val="32"/>
          <w:highlight w:val="none"/>
          <w14:textFill>
            <w14:solidFill>
              <w14:schemeClr w14:val="tx1"/>
            </w14:solidFill>
          </w14:textFill>
        </w:rPr>
        <w:t>，应当进驻市、区行政服务中心、分中心和在线政务服务平台，实行集中统一办理。因涉密、场地限制等特殊因素，确实不适合进驻的事项</w:t>
      </w:r>
      <w:r>
        <w:rPr>
          <w:rFonts w:hint="eastAsia" w:ascii="仿宋" w:hAnsi="仿宋" w:eastAsia="仿宋" w:cs="仿宋"/>
          <w:color w:val="000000" w:themeColor="text1"/>
          <w:sz w:val="32"/>
          <w:szCs w:val="32"/>
          <w:highlight w:val="none"/>
          <w:lang w:eastAsia="zh-CN"/>
          <w14:textFill>
            <w14:solidFill>
              <w14:schemeClr w14:val="tx1"/>
            </w14:solidFill>
          </w14:textFill>
        </w:rPr>
        <w:t>除外。</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第三十一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条【行政审批管理部门职责】</w:t>
      </w:r>
      <w:r>
        <w:rPr>
          <w:rFonts w:hint="eastAsia" w:ascii="仿宋" w:hAnsi="仿宋" w:eastAsia="仿宋" w:cs="仿宋"/>
          <w:color w:val="000000" w:themeColor="text1"/>
          <w:sz w:val="32"/>
          <w:szCs w:val="32"/>
          <w:highlight w:val="none"/>
          <w:lang w:eastAsia="zh-CN"/>
          <w14:textFill>
            <w14:solidFill>
              <w14:schemeClr w14:val="tx1"/>
            </w14:solidFill>
          </w14:textFill>
        </w:rPr>
        <w:t>行政审批管理部门履行对行政服务中心的组织管理、监督协调、指导服务职责，</w:t>
      </w:r>
      <w:r>
        <w:rPr>
          <w:rFonts w:hint="eastAsia" w:ascii="仿宋" w:hAnsi="仿宋" w:eastAsia="仿宋" w:cs="仿宋"/>
          <w:color w:val="000000" w:themeColor="text1"/>
          <w:sz w:val="32"/>
          <w:szCs w:val="32"/>
          <w:highlight w:val="none"/>
          <w14:textFill>
            <w14:solidFill>
              <w14:schemeClr w14:val="tx1"/>
            </w14:solidFill>
          </w14:textFill>
        </w:rPr>
        <w:t>负责统筹推进政务服务规范化、标准化建设</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按照统一入口、统一平台、统一标准的原则推行集成服务，在服务大厅</w:t>
      </w:r>
      <w:r>
        <w:rPr>
          <w:rFonts w:hint="eastAsia" w:ascii="仿宋" w:hAnsi="仿宋" w:eastAsia="仿宋" w:cs="仿宋"/>
          <w:color w:val="000000" w:themeColor="text1"/>
          <w:sz w:val="32"/>
          <w:szCs w:val="32"/>
          <w:highlight w:val="none"/>
          <w:lang w:eastAsia="zh-CN"/>
          <w14:textFill>
            <w14:solidFill>
              <w14:schemeClr w14:val="tx1"/>
            </w14:solidFill>
          </w14:textFill>
        </w:rPr>
        <w:t>推行</w:t>
      </w:r>
      <w:r>
        <w:rPr>
          <w:rFonts w:hint="eastAsia" w:ascii="仿宋" w:hAnsi="仿宋" w:eastAsia="仿宋" w:cs="仿宋"/>
          <w:color w:val="000000" w:themeColor="text1"/>
          <w:sz w:val="32"/>
          <w:szCs w:val="32"/>
          <w:highlight w:val="none"/>
          <w14:textFill>
            <w14:solidFill>
              <w14:schemeClr w14:val="tx1"/>
            </w14:solidFill>
          </w14:textFill>
        </w:rPr>
        <w:t>前台综合受理、后台分类审批、统一窗口出件；推行一次性告知、首问负责、服务承诺等制度，探索为市场主体提供错时服务、个性化定制服务。</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建立政务服务事项和政务服务大厅窗口服务“好差评”以及“好差评”评价核实整改和反馈制度。具体办法由市</w:t>
      </w:r>
      <w:r>
        <w:rPr>
          <w:rFonts w:hint="eastAsia" w:ascii="仿宋" w:hAnsi="仿宋" w:eastAsia="仿宋" w:cs="仿宋"/>
          <w:color w:val="000000" w:themeColor="text1"/>
          <w:sz w:val="32"/>
          <w:szCs w:val="32"/>
          <w:highlight w:val="none"/>
          <w:lang w:eastAsia="zh-CN"/>
          <w14:textFill>
            <w14:solidFill>
              <w14:schemeClr w14:val="tx1"/>
            </w14:solidFill>
          </w14:textFill>
        </w:rPr>
        <w:t>行政审批管理部门</w:t>
      </w:r>
      <w:r>
        <w:rPr>
          <w:rFonts w:hint="eastAsia" w:ascii="仿宋" w:hAnsi="仿宋" w:eastAsia="仿宋" w:cs="仿宋"/>
          <w:color w:val="000000" w:themeColor="text1"/>
          <w:sz w:val="32"/>
          <w:szCs w:val="32"/>
          <w:highlight w:val="none"/>
          <w14:textFill>
            <w14:solidFill>
              <w14:schemeClr w14:val="tx1"/>
            </w14:solidFill>
          </w14:textFill>
        </w:rPr>
        <w:t>制定并向社会公布。</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77" w:name="_Toc70090154"/>
      <w:bookmarkStart w:id="78" w:name="_Toc67919217"/>
      <w:r>
        <w:rPr>
          <w:rFonts w:hint="eastAsia" w:ascii="仿宋" w:hAnsi="仿宋" w:eastAsia="仿宋" w:cs="仿宋"/>
          <w:b/>
          <w:bCs/>
          <w:color w:val="000000" w:themeColor="text1"/>
          <w:sz w:val="32"/>
          <w:szCs w:val="32"/>
          <w:highlight w:val="none"/>
          <w:lang w:eastAsia="zh-CN"/>
          <w14:textFill>
            <w14:solidFill>
              <w14:schemeClr w14:val="tx1"/>
            </w14:solidFill>
          </w14:textFill>
        </w:rPr>
        <w:t>第三十二条</w:t>
      </w:r>
      <w:r>
        <w:rPr>
          <w:rFonts w:hint="eastAsia" w:ascii="仿宋" w:hAnsi="仿宋" w:eastAsia="仿宋" w:cs="仿宋"/>
          <w:b/>
          <w:bCs/>
          <w:color w:val="000000" w:themeColor="text1"/>
          <w:sz w:val="32"/>
          <w:szCs w:val="32"/>
          <w:highlight w:val="none"/>
          <w14:textFill>
            <w14:solidFill>
              <w14:schemeClr w14:val="tx1"/>
            </w14:solidFill>
          </w14:textFill>
        </w:rPr>
        <w:t>【审批</w:t>
      </w:r>
      <w:r>
        <w:rPr>
          <w:rFonts w:hint="eastAsia" w:ascii="仿宋" w:hAnsi="仿宋" w:eastAsia="仿宋" w:cs="仿宋"/>
          <w:b/>
          <w:bCs/>
          <w:color w:val="000000" w:themeColor="text1"/>
          <w:sz w:val="32"/>
          <w:szCs w:val="32"/>
          <w:highlight w:val="none"/>
          <w:lang w:eastAsia="zh-CN"/>
          <w14:textFill>
            <w14:solidFill>
              <w14:schemeClr w14:val="tx1"/>
            </w14:solidFill>
          </w14:textFill>
        </w:rPr>
        <w:t>服务</w:t>
      </w:r>
      <w:r>
        <w:rPr>
          <w:rFonts w:hint="eastAsia" w:ascii="仿宋" w:hAnsi="仿宋" w:eastAsia="仿宋" w:cs="仿宋"/>
          <w:b/>
          <w:bCs/>
          <w:color w:val="000000" w:themeColor="text1"/>
          <w:sz w:val="32"/>
          <w:szCs w:val="32"/>
          <w:highlight w:val="none"/>
          <w14:textFill>
            <w14:solidFill>
              <w14:schemeClr w14:val="tx1"/>
            </w14:solidFill>
          </w14:textFill>
        </w:rPr>
        <w:t>】</w:t>
      </w:r>
      <w:bookmarkEnd w:id="77"/>
      <w:bookmarkEnd w:id="78"/>
      <w:r>
        <w:rPr>
          <w:rFonts w:hint="eastAsia" w:ascii="仿宋" w:hAnsi="仿宋" w:eastAsia="仿宋" w:cs="仿宋"/>
          <w:color w:val="000000" w:themeColor="text1"/>
          <w:sz w:val="32"/>
          <w:szCs w:val="32"/>
          <w:highlight w:val="none"/>
          <w14:textFill>
            <w14:solidFill>
              <w14:schemeClr w14:val="tx1"/>
            </w14:solidFill>
          </w14:textFill>
        </w:rPr>
        <w:t>进驻行政服务中心</w:t>
      </w:r>
      <w:r>
        <w:rPr>
          <w:rFonts w:hint="eastAsia" w:ascii="仿宋" w:hAnsi="仿宋" w:eastAsia="仿宋" w:cs="仿宋"/>
          <w:color w:val="000000" w:themeColor="text1"/>
          <w:sz w:val="32"/>
          <w:szCs w:val="32"/>
          <w:highlight w:val="none"/>
          <w:lang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单位应当确保办事窗口人员、职能、授权、监管到位。依法不需要经过现场勘察、集体讨论、专家论证、听证的审批</w:t>
      </w:r>
      <w:r>
        <w:rPr>
          <w:rFonts w:hint="eastAsia" w:ascii="仿宋" w:hAnsi="仿宋" w:eastAsia="仿宋" w:cs="仿宋"/>
          <w:color w:val="000000" w:themeColor="text1"/>
          <w:sz w:val="32"/>
          <w:szCs w:val="32"/>
          <w:highlight w:val="none"/>
          <w:lang w:eastAsia="zh-CN"/>
          <w14:textFill>
            <w14:solidFill>
              <w14:schemeClr w14:val="tx1"/>
            </w14:solidFill>
          </w14:textFill>
        </w:rPr>
        <w:t>或者初审</w:t>
      </w:r>
      <w:r>
        <w:rPr>
          <w:rFonts w:hint="eastAsia" w:ascii="仿宋" w:hAnsi="仿宋" w:eastAsia="仿宋" w:cs="仿宋"/>
          <w:color w:val="000000" w:themeColor="text1"/>
          <w:sz w:val="32"/>
          <w:szCs w:val="32"/>
          <w:highlight w:val="none"/>
          <w14:textFill>
            <w14:solidFill>
              <w14:schemeClr w14:val="tx1"/>
            </w14:solidFill>
          </w14:textFill>
        </w:rPr>
        <w:t>事项，应当在窗口受理并办结。</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79" w:name="_Toc67498963"/>
      <w:bookmarkEnd w:id="79"/>
      <w:bookmarkStart w:id="80" w:name="_Toc70090155"/>
      <w:bookmarkStart w:id="81" w:name="_Toc67919218"/>
      <w:r>
        <w:rPr>
          <w:rFonts w:hint="eastAsia" w:ascii="仿宋" w:hAnsi="仿宋" w:eastAsia="仿宋" w:cs="仿宋"/>
          <w:b/>
          <w:bCs/>
          <w:color w:val="000000" w:themeColor="text1"/>
          <w:sz w:val="32"/>
          <w:szCs w:val="32"/>
          <w:highlight w:val="none"/>
          <w:lang w:eastAsia="zh-CN"/>
          <w14:textFill>
            <w14:solidFill>
              <w14:schemeClr w14:val="tx1"/>
            </w14:solidFill>
          </w14:textFill>
        </w:rPr>
        <w:t>第三十三条</w:t>
      </w:r>
      <w:r>
        <w:rPr>
          <w:rFonts w:hint="eastAsia" w:ascii="仿宋" w:hAnsi="仿宋" w:eastAsia="仿宋" w:cs="仿宋"/>
          <w:b/>
          <w:bCs/>
          <w:color w:val="000000" w:themeColor="text1"/>
          <w:sz w:val="32"/>
          <w:szCs w:val="32"/>
          <w:highlight w:val="none"/>
          <w14:textFill>
            <w14:solidFill>
              <w14:schemeClr w14:val="tx1"/>
            </w14:solidFill>
          </w14:textFill>
        </w:rPr>
        <w:t>【线上服务】</w:t>
      </w:r>
      <w:bookmarkEnd w:id="80"/>
      <w:bookmarkEnd w:id="81"/>
      <w:r>
        <w:rPr>
          <w:rFonts w:hint="eastAsia" w:ascii="仿宋" w:hAnsi="仿宋" w:eastAsia="仿宋" w:cs="仿宋"/>
          <w:color w:val="000000" w:themeColor="text1"/>
          <w:sz w:val="32"/>
          <w:szCs w:val="32"/>
          <w:highlight w:val="none"/>
          <w14:textFill>
            <w14:solidFill>
              <w14:schemeClr w14:val="tx1"/>
            </w14:solidFill>
          </w14:textFill>
        </w:rPr>
        <w:t>除法律、法规或者</w:t>
      </w:r>
      <w:r>
        <w:rPr>
          <w:rFonts w:hint="eastAsia" w:ascii="仿宋" w:hAnsi="仿宋" w:eastAsia="仿宋" w:cs="仿宋"/>
          <w:color w:val="000000" w:themeColor="text1"/>
          <w:sz w:val="32"/>
          <w:szCs w:val="32"/>
          <w:highlight w:val="none"/>
          <w:lang w:eastAsia="zh-CN"/>
          <w14:textFill>
            <w14:solidFill>
              <w14:schemeClr w14:val="tx1"/>
            </w14:solidFill>
          </w14:textFill>
        </w:rPr>
        <w:t>国家另有规定</w:t>
      </w:r>
      <w:r>
        <w:rPr>
          <w:rFonts w:hint="eastAsia" w:ascii="仿宋" w:hAnsi="仿宋" w:eastAsia="仿宋" w:cs="仿宋"/>
          <w:color w:val="000000" w:themeColor="text1"/>
          <w:sz w:val="32"/>
          <w:szCs w:val="32"/>
          <w:highlight w:val="none"/>
          <w14:textFill>
            <w14:solidFill>
              <w14:schemeClr w14:val="tx1"/>
            </w14:solidFill>
          </w14:textFill>
        </w:rPr>
        <w:t>外，各级政务服务事项应当纳入全省统一的政务服务平台，实现线上“一网通办”。推行政务服务事项全流程网上办理、移动掌上办理、自助终端办理、无人工干预智能秒批等，为市场主体提供便利、多元的线上办理渠道。</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82" w:name="_Toc70090156"/>
      <w:bookmarkStart w:id="83" w:name="_Toc67919219"/>
      <w:r>
        <w:rPr>
          <w:rFonts w:hint="eastAsia" w:ascii="仿宋" w:hAnsi="仿宋" w:eastAsia="仿宋" w:cs="仿宋"/>
          <w:b/>
          <w:bCs/>
          <w:color w:val="000000" w:themeColor="text1"/>
          <w:sz w:val="32"/>
          <w:szCs w:val="32"/>
          <w:highlight w:val="none"/>
          <w:lang w:eastAsia="zh-CN"/>
          <w14:textFill>
            <w14:solidFill>
              <w14:schemeClr w14:val="tx1"/>
            </w14:solidFill>
          </w14:textFill>
        </w:rPr>
        <w:t>第三十四条</w:t>
      </w:r>
      <w:r>
        <w:rPr>
          <w:rFonts w:hint="eastAsia" w:ascii="仿宋" w:hAnsi="仿宋" w:eastAsia="仿宋" w:cs="仿宋"/>
          <w:b/>
          <w:bCs/>
          <w:color w:val="000000" w:themeColor="text1"/>
          <w:sz w:val="32"/>
          <w:szCs w:val="32"/>
          <w:highlight w:val="none"/>
          <w14:textFill>
            <w14:solidFill>
              <w14:schemeClr w14:val="tx1"/>
            </w14:solidFill>
          </w14:textFill>
        </w:rPr>
        <w:t>【电子材料】</w:t>
      </w:r>
      <w:bookmarkEnd w:id="82"/>
      <w:bookmarkEnd w:id="83"/>
      <w:r>
        <w:rPr>
          <w:rFonts w:hint="eastAsia" w:ascii="仿宋" w:hAnsi="仿宋" w:eastAsia="仿宋" w:cs="仿宋"/>
          <w:color w:val="000000" w:themeColor="text1"/>
          <w:sz w:val="32"/>
          <w:szCs w:val="32"/>
          <w:highlight w:val="none"/>
          <w14:textFill>
            <w14:solidFill>
              <w14:schemeClr w14:val="tx1"/>
            </w14:solidFill>
          </w14:textFill>
        </w:rPr>
        <w:t>符合</w:t>
      </w:r>
      <w:r>
        <w:rPr>
          <w:rFonts w:hint="eastAsia" w:ascii="仿宋" w:hAnsi="仿宋" w:eastAsia="仿宋" w:cs="仿宋"/>
          <w:color w:val="000000" w:themeColor="text1"/>
          <w:sz w:val="32"/>
          <w:szCs w:val="32"/>
          <w:highlight w:val="none"/>
          <w:lang w:eastAsia="zh-CN"/>
          <w14:textFill>
            <w14:solidFill>
              <w14:schemeClr w14:val="tx1"/>
            </w14:solidFill>
          </w14:textFill>
        </w:rPr>
        <w:t>法定要求的</w:t>
      </w:r>
      <w:r>
        <w:rPr>
          <w:rFonts w:hint="eastAsia" w:ascii="仿宋" w:hAnsi="仿宋" w:eastAsia="仿宋" w:cs="仿宋"/>
          <w:color w:val="000000" w:themeColor="text1"/>
          <w:sz w:val="32"/>
          <w:szCs w:val="32"/>
          <w:highlight w:val="none"/>
          <w14:textFill>
            <w14:solidFill>
              <w14:schemeClr w14:val="tx1"/>
            </w14:solidFill>
          </w14:textFill>
        </w:rPr>
        <w:t>电子签名、电子印章、电子证照、电子档案、电子合同等电子材料与手写签名、实物印章、纸质证照、纸质档案、纸质合同等纸质材料具有同等法律效力，</w:t>
      </w:r>
      <w:r>
        <w:rPr>
          <w:rFonts w:hint="eastAsia" w:ascii="仿宋" w:hAnsi="仿宋" w:eastAsia="仿宋" w:cs="仿宋"/>
          <w:color w:val="000000" w:themeColor="text1"/>
          <w:sz w:val="32"/>
          <w:szCs w:val="32"/>
          <w:highlight w:val="none"/>
          <w:lang w:eastAsia="zh-CN"/>
          <w14:textFill>
            <w14:solidFill>
              <w14:schemeClr w14:val="tx1"/>
            </w14:solidFill>
          </w14:textFill>
        </w:rPr>
        <w:t>可以作为</w:t>
      </w:r>
      <w:r>
        <w:rPr>
          <w:rFonts w:hint="eastAsia" w:ascii="仿宋" w:hAnsi="仿宋" w:eastAsia="仿宋" w:cs="仿宋"/>
          <w:color w:val="000000" w:themeColor="text1"/>
          <w:sz w:val="32"/>
          <w:szCs w:val="32"/>
          <w:highlight w:val="none"/>
          <w14:textFill>
            <w14:solidFill>
              <w14:schemeClr w14:val="tx1"/>
            </w14:solidFill>
          </w14:textFill>
        </w:rPr>
        <w:t>政务服务事项办理材料。对能够通过在线政务服务平台提取、生成</w:t>
      </w:r>
      <w:r>
        <w:rPr>
          <w:rFonts w:hint="eastAsia" w:ascii="仿宋" w:hAnsi="仿宋" w:eastAsia="仿宋" w:cs="仿宋"/>
          <w:color w:val="000000" w:themeColor="text1"/>
          <w:sz w:val="32"/>
          <w:szCs w:val="32"/>
          <w:highlight w:val="none"/>
          <w:lang w:eastAsia="zh-CN"/>
          <w14:textFill>
            <w14:solidFill>
              <w14:schemeClr w14:val="tx1"/>
            </w14:solidFill>
          </w14:textFill>
        </w:rPr>
        <w:t>或者</w:t>
      </w:r>
      <w:r>
        <w:rPr>
          <w:rFonts w:hint="eastAsia" w:ascii="仿宋" w:hAnsi="仿宋" w:eastAsia="仿宋" w:cs="仿宋"/>
          <w:color w:val="000000" w:themeColor="text1"/>
          <w:sz w:val="32"/>
          <w:szCs w:val="32"/>
          <w:highlight w:val="none"/>
          <w14:textFill>
            <w14:solidFill>
              <w14:schemeClr w14:val="tx1"/>
            </w14:solidFill>
          </w14:textFill>
        </w:rPr>
        <w:t>信息共享的材料，不得要求</w:t>
      </w:r>
      <w:r>
        <w:rPr>
          <w:rFonts w:hint="eastAsia" w:ascii="仿宋" w:hAnsi="仿宋" w:eastAsia="仿宋" w:cs="仿宋"/>
          <w:color w:val="000000" w:themeColor="text1"/>
          <w:sz w:val="32"/>
          <w:szCs w:val="32"/>
          <w:highlight w:val="none"/>
          <w:lang w:eastAsia="zh-CN"/>
          <w14:textFill>
            <w14:solidFill>
              <w14:schemeClr w14:val="tx1"/>
            </w14:solidFill>
          </w14:textFill>
        </w:rPr>
        <w:t>市场主体</w:t>
      </w:r>
      <w:r>
        <w:rPr>
          <w:rFonts w:hint="eastAsia" w:ascii="仿宋" w:hAnsi="仿宋" w:eastAsia="仿宋" w:cs="仿宋"/>
          <w:color w:val="000000" w:themeColor="text1"/>
          <w:sz w:val="32"/>
          <w:szCs w:val="32"/>
          <w:highlight w:val="none"/>
          <w14:textFill>
            <w14:solidFill>
              <w14:schemeClr w14:val="tx1"/>
            </w14:solidFill>
          </w14:textFill>
        </w:rPr>
        <w:t>重复提供。</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bookmarkStart w:id="84" w:name="_Toc70090158"/>
      <w:r>
        <w:rPr>
          <w:rFonts w:hint="eastAsia" w:ascii="仿宋" w:hAnsi="仿宋" w:eastAsia="仿宋" w:cs="仿宋"/>
          <w:b/>
          <w:bCs/>
          <w:color w:val="000000" w:themeColor="text1"/>
          <w:sz w:val="32"/>
          <w:szCs w:val="32"/>
          <w:highlight w:val="none"/>
          <w:lang w:eastAsia="zh-CN"/>
          <w14:textFill>
            <w14:solidFill>
              <w14:schemeClr w14:val="tx1"/>
            </w14:solidFill>
          </w14:textFill>
        </w:rPr>
        <w:t>第三十五条</w:t>
      </w:r>
      <w:r>
        <w:rPr>
          <w:rFonts w:hint="eastAsia" w:ascii="仿宋" w:hAnsi="仿宋" w:eastAsia="仿宋" w:cs="仿宋"/>
          <w:b/>
          <w:bCs/>
          <w:color w:val="000000" w:themeColor="text1"/>
          <w:sz w:val="32"/>
          <w:szCs w:val="32"/>
          <w:highlight w:val="none"/>
          <w14:textFill>
            <w14:solidFill>
              <w14:schemeClr w14:val="tx1"/>
            </w14:solidFill>
          </w14:textFill>
        </w:rPr>
        <w:t>【告知承诺制】</w:t>
      </w:r>
      <w:bookmarkEnd w:id="84"/>
      <w:r>
        <w:rPr>
          <w:rFonts w:hint="eastAsia" w:ascii="仿宋" w:hAnsi="仿宋" w:eastAsia="仿宋" w:cs="仿宋"/>
          <w:color w:val="000000" w:themeColor="text1"/>
          <w:sz w:val="32"/>
          <w:szCs w:val="32"/>
          <w:highlight w:val="none"/>
          <w:lang w:eastAsia="zh-CN"/>
          <w14:textFill>
            <w14:solidFill>
              <w14:schemeClr w14:val="tx1"/>
            </w14:solidFill>
          </w14:textFill>
        </w:rPr>
        <w:t>对许可条件难以事先核实、能够通过事中事后监管纠正且风险可控的行政许可事项办理推行告知承诺制，直接涉及公共安全、生态环境保护和直接关系人身健康、生命财产安全的行业、领域除外。实行告知承诺的具体事项，由</w:t>
      </w:r>
      <w:r>
        <w:rPr>
          <w:rFonts w:hint="eastAsia" w:ascii="仿宋" w:hAnsi="仿宋" w:eastAsia="仿宋" w:cs="仿宋"/>
          <w:color w:val="000000" w:themeColor="text1"/>
          <w:sz w:val="32"/>
          <w:szCs w:val="32"/>
          <w:highlight w:val="none"/>
          <w14:textFill>
            <w14:solidFill>
              <w14:schemeClr w14:val="tx1"/>
            </w14:solidFill>
          </w14:textFill>
        </w:rPr>
        <w:t>负责行政审批制度改革工作的</w:t>
      </w:r>
      <w:r>
        <w:rPr>
          <w:rFonts w:hint="eastAsia" w:ascii="仿宋" w:hAnsi="仿宋" w:eastAsia="仿宋" w:cs="仿宋"/>
          <w:color w:val="000000" w:themeColor="text1"/>
          <w:sz w:val="32"/>
          <w:szCs w:val="32"/>
          <w:highlight w:val="none"/>
          <w:lang w:eastAsia="zh-CN"/>
          <w14:textFill>
            <w14:solidFill>
              <w14:schemeClr w14:val="tx1"/>
            </w14:solidFill>
          </w14:textFill>
        </w:rPr>
        <w:t>机构和行政审批管理部门会同有关部门确定并向社会公布。</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对于可</w:t>
      </w:r>
      <w:r>
        <w:rPr>
          <w:rFonts w:hint="eastAsia" w:ascii="仿宋" w:hAnsi="仿宋" w:eastAsia="仿宋" w:cs="仿宋"/>
          <w:color w:val="000000" w:themeColor="text1"/>
          <w:sz w:val="32"/>
          <w:szCs w:val="32"/>
          <w:highlight w:val="none"/>
          <w:lang w:eastAsia="zh-CN"/>
          <w14:textFill>
            <w14:solidFill>
              <w14:schemeClr w14:val="tx1"/>
            </w14:solidFill>
          </w14:textFill>
        </w:rPr>
        <w:t>实行</w:t>
      </w:r>
      <w:r>
        <w:rPr>
          <w:rFonts w:hint="eastAsia" w:ascii="仿宋" w:hAnsi="仿宋" w:eastAsia="仿宋" w:cs="仿宋"/>
          <w:color w:val="000000" w:themeColor="text1"/>
          <w:sz w:val="32"/>
          <w:szCs w:val="32"/>
          <w:highlight w:val="none"/>
          <w14:textFill>
            <w14:solidFill>
              <w14:schemeClr w14:val="tx1"/>
            </w14:solidFill>
          </w14:textFill>
        </w:rPr>
        <w:t>告知承诺</w:t>
      </w:r>
      <w:r>
        <w:rPr>
          <w:rFonts w:hint="eastAsia" w:ascii="仿宋" w:hAnsi="仿宋" w:eastAsia="仿宋" w:cs="仿宋"/>
          <w:color w:val="000000" w:themeColor="text1"/>
          <w:sz w:val="32"/>
          <w:szCs w:val="32"/>
          <w:highlight w:val="none"/>
          <w:lang w:eastAsia="zh-CN"/>
          <w14:textFill>
            <w14:solidFill>
              <w14:schemeClr w14:val="tx1"/>
            </w14:solidFill>
          </w14:textFill>
        </w:rPr>
        <w:t>制</w:t>
      </w:r>
      <w:r>
        <w:rPr>
          <w:rFonts w:hint="eastAsia" w:ascii="仿宋" w:hAnsi="仿宋" w:eastAsia="仿宋" w:cs="仿宋"/>
          <w:color w:val="000000" w:themeColor="text1"/>
          <w:sz w:val="32"/>
          <w:szCs w:val="32"/>
          <w:highlight w:val="none"/>
          <w14:textFill>
            <w14:solidFill>
              <w14:schemeClr w14:val="tx1"/>
            </w14:solidFill>
          </w14:textFill>
        </w:rPr>
        <w:t>的</w:t>
      </w:r>
      <w:r>
        <w:rPr>
          <w:rFonts w:hint="eastAsia" w:ascii="仿宋" w:hAnsi="仿宋" w:eastAsia="仿宋" w:cs="仿宋"/>
          <w:color w:val="000000" w:themeColor="text1"/>
          <w:sz w:val="32"/>
          <w:szCs w:val="32"/>
          <w:highlight w:val="none"/>
          <w:lang w:eastAsia="zh-CN"/>
          <w14:textFill>
            <w14:solidFill>
              <w14:schemeClr w14:val="tx1"/>
            </w14:solidFill>
          </w14:textFill>
        </w:rPr>
        <w:t>行政许可</w:t>
      </w:r>
      <w:r>
        <w:rPr>
          <w:rFonts w:hint="eastAsia" w:ascii="仿宋" w:hAnsi="仿宋" w:eastAsia="仿宋" w:cs="仿宋"/>
          <w:color w:val="000000" w:themeColor="text1"/>
          <w:sz w:val="32"/>
          <w:szCs w:val="32"/>
          <w:highlight w:val="none"/>
          <w14:textFill>
            <w14:solidFill>
              <w14:schemeClr w14:val="tx1"/>
            </w14:solidFill>
          </w14:textFill>
        </w:rPr>
        <w:t>事项，申请人自愿选择适用告知承诺制的，</w:t>
      </w:r>
      <w:r>
        <w:rPr>
          <w:rFonts w:hint="eastAsia" w:ascii="仿宋" w:hAnsi="仿宋" w:eastAsia="仿宋" w:cs="仿宋"/>
          <w:color w:val="000000" w:themeColor="text1"/>
          <w:sz w:val="32"/>
          <w:szCs w:val="32"/>
          <w:highlight w:val="none"/>
          <w:lang w:eastAsia="zh-CN"/>
          <w14:textFill>
            <w14:solidFill>
              <w14:schemeClr w14:val="tx1"/>
            </w14:solidFill>
          </w14:textFill>
        </w:rPr>
        <w:t>许可</w:t>
      </w:r>
      <w:r>
        <w:rPr>
          <w:rFonts w:hint="eastAsia" w:ascii="仿宋" w:hAnsi="仿宋" w:eastAsia="仿宋" w:cs="仿宋"/>
          <w:color w:val="000000" w:themeColor="text1"/>
          <w:sz w:val="32"/>
          <w:szCs w:val="32"/>
          <w:highlight w:val="none"/>
          <w14:textFill>
            <w14:solidFill>
              <w14:schemeClr w14:val="tx1"/>
            </w14:solidFill>
          </w14:textFill>
        </w:rPr>
        <w:t>部门应当一次性告知</w:t>
      </w:r>
      <w:r>
        <w:rPr>
          <w:rFonts w:hint="eastAsia" w:ascii="仿宋" w:hAnsi="仿宋" w:eastAsia="仿宋" w:cs="仿宋"/>
          <w:color w:val="000000" w:themeColor="text1"/>
          <w:sz w:val="32"/>
          <w:szCs w:val="32"/>
          <w:highlight w:val="none"/>
          <w:lang w:eastAsia="zh-CN"/>
          <w14:textFill>
            <w14:solidFill>
              <w14:schemeClr w14:val="tx1"/>
            </w14:solidFill>
          </w14:textFill>
        </w:rPr>
        <w:t>行政许可</w:t>
      </w:r>
      <w:r>
        <w:rPr>
          <w:rFonts w:hint="eastAsia" w:ascii="仿宋" w:hAnsi="仿宋" w:eastAsia="仿宋" w:cs="仿宋"/>
          <w:color w:val="000000" w:themeColor="text1"/>
          <w:sz w:val="32"/>
          <w:szCs w:val="32"/>
          <w:highlight w:val="none"/>
          <w14:textFill>
            <w14:solidFill>
              <w14:schemeClr w14:val="tx1"/>
            </w14:solidFill>
          </w14:textFill>
        </w:rPr>
        <w:t>条件、办理要求、监管规则和违反承诺的后果等内容；申请人以书面形式承诺其符合</w:t>
      </w:r>
      <w:r>
        <w:rPr>
          <w:rFonts w:hint="eastAsia" w:ascii="仿宋" w:hAnsi="仿宋" w:eastAsia="仿宋" w:cs="仿宋"/>
          <w:color w:val="000000" w:themeColor="text1"/>
          <w:sz w:val="32"/>
          <w:szCs w:val="32"/>
          <w:highlight w:val="none"/>
          <w:lang w:eastAsia="zh-CN"/>
          <w14:textFill>
            <w14:solidFill>
              <w14:schemeClr w14:val="tx1"/>
            </w14:solidFill>
          </w14:textFill>
        </w:rPr>
        <w:t>许可</w:t>
      </w:r>
      <w:r>
        <w:rPr>
          <w:rFonts w:hint="eastAsia" w:ascii="仿宋" w:hAnsi="仿宋" w:eastAsia="仿宋" w:cs="仿宋"/>
          <w:color w:val="000000" w:themeColor="text1"/>
          <w:sz w:val="32"/>
          <w:szCs w:val="32"/>
          <w:highlight w:val="none"/>
          <w14:textFill>
            <w14:solidFill>
              <w14:schemeClr w14:val="tx1"/>
            </w14:solidFill>
          </w14:textFill>
        </w:rPr>
        <w:t>条件且愿意承担不实承诺法律责任的，</w:t>
      </w:r>
      <w:r>
        <w:rPr>
          <w:rFonts w:hint="eastAsia" w:ascii="仿宋" w:hAnsi="仿宋" w:eastAsia="仿宋" w:cs="仿宋"/>
          <w:color w:val="000000" w:themeColor="text1"/>
          <w:sz w:val="32"/>
          <w:szCs w:val="32"/>
          <w:highlight w:val="none"/>
          <w:lang w:eastAsia="zh-CN"/>
          <w14:textFill>
            <w14:solidFill>
              <w14:schemeClr w14:val="tx1"/>
            </w14:solidFill>
          </w14:textFill>
        </w:rPr>
        <w:t>许可</w:t>
      </w:r>
      <w:r>
        <w:rPr>
          <w:rFonts w:hint="eastAsia" w:ascii="仿宋" w:hAnsi="仿宋" w:eastAsia="仿宋" w:cs="仿宋"/>
          <w:color w:val="000000" w:themeColor="text1"/>
          <w:sz w:val="32"/>
          <w:szCs w:val="32"/>
          <w:highlight w:val="none"/>
          <w14:textFill>
            <w14:solidFill>
              <w14:schemeClr w14:val="tx1"/>
            </w14:solidFill>
          </w14:textFill>
        </w:rPr>
        <w:t>部门</w:t>
      </w:r>
      <w:r>
        <w:rPr>
          <w:rFonts w:hint="eastAsia" w:ascii="仿宋" w:hAnsi="仿宋" w:eastAsia="仿宋" w:cs="仿宋"/>
          <w:color w:val="000000" w:themeColor="text1"/>
          <w:sz w:val="32"/>
          <w:szCs w:val="32"/>
          <w:highlight w:val="none"/>
          <w:lang w:eastAsia="zh-CN"/>
          <w14:textFill>
            <w14:solidFill>
              <w14:schemeClr w14:val="tx1"/>
            </w14:solidFill>
          </w14:textFill>
        </w:rPr>
        <w:t>可以</w:t>
      </w:r>
      <w:r>
        <w:rPr>
          <w:rFonts w:hint="eastAsia" w:ascii="仿宋" w:hAnsi="仿宋" w:eastAsia="仿宋" w:cs="仿宋"/>
          <w:color w:val="000000" w:themeColor="text1"/>
          <w:sz w:val="32"/>
          <w:szCs w:val="32"/>
          <w:highlight w:val="none"/>
          <w14:textFill>
            <w14:solidFill>
              <w14:schemeClr w14:val="tx1"/>
            </w14:solidFill>
          </w14:textFill>
        </w:rPr>
        <w:t>当场作出</w:t>
      </w:r>
      <w:r>
        <w:rPr>
          <w:rFonts w:hint="eastAsia" w:ascii="仿宋" w:hAnsi="仿宋" w:eastAsia="仿宋" w:cs="仿宋"/>
          <w:color w:val="000000" w:themeColor="text1"/>
          <w:sz w:val="32"/>
          <w:szCs w:val="32"/>
          <w:highlight w:val="none"/>
          <w:lang w:eastAsia="zh-CN"/>
          <w14:textFill>
            <w14:solidFill>
              <w14:schemeClr w14:val="tx1"/>
            </w14:solidFill>
          </w14:textFill>
        </w:rPr>
        <w:t>行政许可</w:t>
      </w:r>
      <w:r>
        <w:rPr>
          <w:rFonts w:hint="eastAsia" w:ascii="仿宋" w:hAnsi="仿宋" w:eastAsia="仿宋" w:cs="仿宋"/>
          <w:color w:val="000000" w:themeColor="text1"/>
          <w:sz w:val="32"/>
          <w:szCs w:val="32"/>
          <w:highlight w:val="none"/>
          <w14:textFill>
            <w14:solidFill>
              <w14:schemeClr w14:val="tx1"/>
            </w14:solidFill>
          </w14:textFill>
        </w:rPr>
        <w:t>决定</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有关部门应当加强事中事后监管，定期对承诺人履行承诺的情况进行抽查，发现未履行承诺的，责令其限期整改，整改后仍未达到条件的，撤销行政许可，并将承诺人履行承诺的情况记入其公共信用信息，依法实施信用惩戒。</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第三十六条</w:t>
      </w:r>
      <w:r>
        <w:rPr>
          <w:rFonts w:hint="eastAsia" w:ascii="仿宋" w:hAnsi="仿宋" w:eastAsia="仿宋" w:cs="仿宋"/>
          <w:b/>
          <w:bCs/>
          <w:color w:val="000000" w:themeColor="text1"/>
          <w:sz w:val="32"/>
          <w:szCs w:val="32"/>
          <w:highlight w:val="none"/>
          <w14:textFill>
            <w14:solidFill>
              <w14:schemeClr w14:val="tx1"/>
            </w14:solidFill>
          </w14:textFill>
        </w:rPr>
        <w:t>【容缺受理】</w:t>
      </w:r>
      <w:r>
        <w:rPr>
          <w:rFonts w:hint="eastAsia" w:ascii="仿宋" w:hAnsi="仿宋" w:eastAsia="仿宋" w:cs="仿宋"/>
          <w:color w:val="000000" w:themeColor="text1"/>
          <w:sz w:val="32"/>
          <w:szCs w:val="32"/>
          <w:highlight w:val="none"/>
          <w:lang w:eastAsia="zh-CN"/>
          <w14:textFill>
            <w14:solidFill>
              <w14:schemeClr w14:val="tx1"/>
            </w14:solidFill>
          </w14:textFill>
        </w:rPr>
        <w:t>有关部门</w:t>
      </w:r>
      <w:r>
        <w:rPr>
          <w:rFonts w:hint="eastAsia" w:ascii="仿宋" w:hAnsi="仿宋" w:eastAsia="仿宋" w:cs="仿宋"/>
          <w:color w:val="000000" w:themeColor="text1"/>
          <w:sz w:val="32"/>
          <w:szCs w:val="32"/>
          <w:highlight w:val="none"/>
          <w14:textFill>
            <w14:solidFill>
              <w14:schemeClr w14:val="tx1"/>
            </w14:solidFill>
          </w14:textFill>
        </w:rPr>
        <w:t>应当建立政务服务事项容缺受理制度，制定实行容缺受理的事项清单，</w:t>
      </w:r>
      <w:r>
        <w:rPr>
          <w:rFonts w:hint="eastAsia" w:ascii="仿宋" w:hAnsi="仿宋" w:eastAsia="仿宋" w:cs="仿宋"/>
          <w:color w:val="000000" w:themeColor="text1"/>
          <w:sz w:val="32"/>
          <w:szCs w:val="32"/>
          <w:highlight w:val="none"/>
          <w:lang w:eastAsia="zh-CN"/>
          <w14:textFill>
            <w14:solidFill>
              <w14:schemeClr w14:val="tx1"/>
            </w14:solidFill>
          </w14:textFill>
        </w:rPr>
        <w:t>明确政务服务事项的主要申报材料和次要申报材料，并向社会公布。</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对主要申报材料齐全且符合法定条件，但次要材料有欠缺的登记、审批事项，申请人按照要求作出书面承诺后，有关部门先予受理进行审查，并一次性告知申请人应当补齐补正的材料；申请人在规定时限内补齐所有容缺材料，经审查符合法定要求的，应当作出决定。</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85" w:name="_Toc70090159"/>
      <w:bookmarkStart w:id="86" w:name="_Toc67919221"/>
      <w:r>
        <w:rPr>
          <w:rFonts w:hint="eastAsia" w:ascii="仿宋" w:hAnsi="仿宋" w:eastAsia="仿宋" w:cs="仿宋"/>
          <w:b/>
          <w:bCs/>
          <w:color w:val="000000" w:themeColor="text1"/>
          <w:sz w:val="32"/>
          <w:szCs w:val="32"/>
          <w:highlight w:val="none"/>
          <w:lang w:eastAsia="zh-CN"/>
          <w14:textFill>
            <w14:solidFill>
              <w14:schemeClr w14:val="tx1"/>
            </w14:solidFill>
          </w14:textFill>
        </w:rPr>
        <w:t>第三十七条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一业一证</w:t>
      </w:r>
      <w:r>
        <w:rPr>
          <w:rFonts w:hint="eastAsia" w:ascii="仿宋" w:hAnsi="仿宋" w:eastAsia="仿宋" w:cs="仿宋"/>
          <w:b/>
          <w:bCs/>
          <w:color w:val="000000" w:themeColor="text1"/>
          <w:sz w:val="32"/>
          <w:szCs w:val="32"/>
          <w:highlight w:val="none"/>
          <w14:textFill>
            <w14:solidFill>
              <w14:schemeClr w14:val="tx1"/>
            </w14:solidFill>
          </w14:textFill>
        </w:rPr>
        <w:t>】</w:t>
      </w:r>
      <w:bookmarkEnd w:id="85"/>
      <w:bookmarkEnd w:id="86"/>
      <w:r>
        <w:rPr>
          <w:rFonts w:hint="eastAsia" w:ascii="仿宋" w:hAnsi="仿宋" w:eastAsia="仿宋" w:cs="仿宋"/>
          <w:color w:val="000000" w:themeColor="text1"/>
          <w:sz w:val="32"/>
          <w:szCs w:val="32"/>
          <w:highlight w:val="none"/>
          <w14:textFill>
            <w14:solidFill>
              <w14:schemeClr w14:val="tx1"/>
            </w14:solidFill>
          </w14:textFill>
        </w:rPr>
        <w:t>探索“一业一证”审批模式改革，</w:t>
      </w:r>
      <w:r>
        <w:rPr>
          <w:rFonts w:hint="eastAsia" w:ascii="仿宋" w:hAnsi="仿宋" w:eastAsia="仿宋" w:cs="仿宋"/>
          <w:color w:val="000000" w:themeColor="text1"/>
          <w:sz w:val="32"/>
          <w:szCs w:val="32"/>
          <w:highlight w:val="none"/>
          <w:lang w:eastAsia="zh-CN"/>
          <w14:textFill>
            <w14:solidFill>
              <w14:schemeClr w14:val="tx1"/>
            </w14:solidFill>
          </w14:textFill>
        </w:rPr>
        <w:t>将一个行业准入涉及的多张许可证整合为一张行业综合许可证，并</w:t>
      </w:r>
      <w:r>
        <w:rPr>
          <w:rFonts w:hint="eastAsia" w:ascii="仿宋" w:hAnsi="仿宋" w:eastAsia="仿宋" w:cs="仿宋"/>
          <w:color w:val="000000" w:themeColor="text1"/>
          <w:sz w:val="32"/>
          <w:szCs w:val="32"/>
          <w:highlight w:val="none"/>
          <w14:textFill>
            <w14:solidFill>
              <w14:schemeClr w14:val="tx1"/>
            </w14:solidFill>
          </w14:textFill>
        </w:rPr>
        <w:t>由一个部门发放</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87" w:name="_Toc63867596"/>
      <w:bookmarkStart w:id="88" w:name="_Toc67919232"/>
      <w:bookmarkStart w:id="89" w:name="_Toc70090168"/>
      <w:r>
        <w:rPr>
          <w:rFonts w:hint="eastAsia" w:ascii="仿宋" w:hAnsi="仿宋" w:eastAsia="仿宋" w:cs="仿宋"/>
          <w:b/>
          <w:bCs/>
          <w:color w:val="000000" w:themeColor="text1"/>
          <w:sz w:val="32"/>
          <w:szCs w:val="32"/>
          <w:highlight w:val="none"/>
          <w:lang w:eastAsia="zh-CN"/>
          <w14:textFill>
            <w14:solidFill>
              <w14:schemeClr w14:val="tx1"/>
            </w14:solidFill>
          </w14:textFill>
        </w:rPr>
        <w:t>第三十八条</w:t>
      </w:r>
      <w:r>
        <w:rPr>
          <w:rFonts w:hint="eastAsia" w:ascii="仿宋" w:hAnsi="仿宋" w:eastAsia="仿宋" w:cs="仿宋"/>
          <w:b/>
          <w:bCs/>
          <w:color w:val="000000" w:themeColor="text1"/>
          <w:sz w:val="32"/>
          <w:szCs w:val="32"/>
          <w:highlight w:val="none"/>
          <w14:textFill>
            <w14:solidFill>
              <w14:schemeClr w14:val="tx1"/>
            </w14:solidFill>
          </w14:textFill>
        </w:rPr>
        <w:t>【工程建设项目审批】</w:t>
      </w:r>
      <w:bookmarkEnd w:id="87"/>
      <w:bookmarkEnd w:id="88"/>
      <w:bookmarkEnd w:id="89"/>
      <w:r>
        <w:rPr>
          <w:rFonts w:hint="eastAsia" w:ascii="仿宋" w:hAnsi="仿宋" w:eastAsia="仿宋" w:cs="仿宋"/>
          <w:color w:val="000000" w:themeColor="text1"/>
          <w:sz w:val="32"/>
          <w:szCs w:val="32"/>
          <w:highlight w:val="none"/>
          <w14:textFill>
            <w14:solidFill>
              <w14:schemeClr w14:val="tx1"/>
            </w14:solidFill>
          </w14:textFill>
        </w:rPr>
        <w:t>持续推进工程建设项目审批制度改革，推行工程建设项目“多批合一”模式</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建立工程建设项目风险分级分类审批和监管制度。</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推行政府购买服务开展施工图审查或</w:t>
      </w:r>
      <w:r>
        <w:rPr>
          <w:rFonts w:hint="eastAsia" w:ascii="仿宋" w:hAnsi="仿宋" w:eastAsia="仿宋" w:cs="仿宋"/>
          <w:color w:val="000000" w:themeColor="text1"/>
          <w:sz w:val="32"/>
          <w:szCs w:val="32"/>
          <w:highlight w:val="none"/>
          <w:lang w:eastAsia="zh-CN"/>
          <w14:textFill>
            <w14:solidFill>
              <w14:schemeClr w14:val="tx1"/>
            </w14:solidFill>
          </w14:textFill>
        </w:rPr>
        <w:t>者</w:t>
      </w:r>
      <w:r>
        <w:rPr>
          <w:rFonts w:hint="eastAsia" w:ascii="仿宋" w:hAnsi="仿宋" w:eastAsia="仿宋" w:cs="仿宋"/>
          <w:color w:val="000000" w:themeColor="text1"/>
          <w:sz w:val="32"/>
          <w:szCs w:val="32"/>
          <w:highlight w:val="none"/>
          <w14:textFill>
            <w14:solidFill>
              <w14:schemeClr w14:val="tx1"/>
            </w14:solidFill>
          </w14:textFill>
        </w:rPr>
        <w:t>施工图监督抽查</w:t>
      </w:r>
      <w:r>
        <w:rPr>
          <w:rFonts w:hint="eastAsia" w:ascii="仿宋" w:hAnsi="仿宋" w:eastAsia="仿宋" w:cs="仿宋"/>
          <w:color w:val="000000" w:themeColor="text1"/>
          <w:sz w:val="32"/>
          <w:szCs w:val="32"/>
          <w:highlight w:val="none"/>
          <w:lang w:eastAsia="zh-CN"/>
          <w14:textFill>
            <w14:solidFill>
              <w14:schemeClr w14:val="tx1"/>
            </w14:solidFill>
          </w14:textFill>
        </w:rPr>
        <w:t>，探索扩大施工图免审范围，强化设计质量主体责任。</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房屋建筑工程的建设单位依法确定施工单位后，</w:t>
      </w:r>
      <w:r>
        <w:rPr>
          <w:rFonts w:hint="eastAsia" w:ascii="仿宋" w:hAnsi="仿宋" w:eastAsia="仿宋" w:cs="仿宋"/>
          <w:color w:val="000000" w:themeColor="text1"/>
          <w:sz w:val="32"/>
          <w:szCs w:val="32"/>
          <w:highlight w:val="none"/>
          <w:lang w:eastAsia="zh-CN"/>
          <w14:textFill>
            <w14:solidFill>
              <w14:schemeClr w14:val="tx1"/>
            </w14:solidFill>
          </w14:textFill>
        </w:rPr>
        <w:t>可以按照施工的进展顺序</w:t>
      </w:r>
      <w:r>
        <w:rPr>
          <w:rFonts w:hint="eastAsia" w:ascii="仿宋" w:hAnsi="仿宋" w:eastAsia="仿宋" w:cs="仿宋"/>
          <w:color w:val="000000" w:themeColor="text1"/>
          <w:sz w:val="32"/>
          <w:szCs w:val="32"/>
          <w:highlight w:val="none"/>
          <w14:textFill>
            <w14:solidFill>
              <w14:schemeClr w14:val="tx1"/>
            </w14:solidFill>
          </w14:textFill>
        </w:rPr>
        <w:t>分阶段申请办理施工许可证。</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90" w:name="_Toc70090170"/>
      <w:bookmarkStart w:id="91" w:name="_Toc67919234"/>
      <w:r>
        <w:rPr>
          <w:rFonts w:hint="eastAsia" w:ascii="仿宋" w:hAnsi="仿宋" w:eastAsia="仿宋" w:cs="仿宋"/>
          <w:b/>
          <w:bCs/>
          <w:color w:val="000000" w:themeColor="text1"/>
          <w:sz w:val="32"/>
          <w:szCs w:val="32"/>
          <w:highlight w:val="none"/>
          <w:lang w:eastAsia="zh-CN"/>
          <w14:textFill>
            <w14:solidFill>
              <w14:schemeClr w14:val="tx1"/>
            </w14:solidFill>
          </w14:textFill>
        </w:rPr>
        <w:t>第三十九条</w:t>
      </w:r>
      <w:r>
        <w:rPr>
          <w:rFonts w:hint="eastAsia" w:ascii="仿宋" w:hAnsi="仿宋" w:eastAsia="仿宋" w:cs="仿宋"/>
          <w:b/>
          <w:bCs/>
          <w:color w:val="000000" w:themeColor="text1"/>
          <w:sz w:val="32"/>
          <w:szCs w:val="32"/>
          <w:highlight w:val="none"/>
          <w14:textFill>
            <w14:solidFill>
              <w14:schemeClr w14:val="tx1"/>
            </w14:solidFill>
          </w14:textFill>
        </w:rPr>
        <w:t>【不动产登记】</w:t>
      </w:r>
      <w:bookmarkEnd w:id="90"/>
      <w:bookmarkEnd w:id="91"/>
      <w:r>
        <w:rPr>
          <w:rFonts w:hint="eastAsia" w:ascii="仿宋" w:hAnsi="仿宋" w:eastAsia="仿宋" w:cs="仿宋"/>
          <w:color w:val="000000" w:themeColor="text1"/>
          <w:sz w:val="32"/>
          <w:szCs w:val="32"/>
          <w:highlight w:val="none"/>
          <w14:textFill>
            <w14:solidFill>
              <w14:schemeClr w14:val="tx1"/>
            </w14:solidFill>
          </w14:textFill>
        </w:rPr>
        <w:t>不动产登记机构应当按照规定压缩不动产登记办理时限和优化不动产登记办理流程，加强与住房、税务等部门的协作，实现企业存量房买卖业务的交易、缴税、登记一窗受理，并行办理。</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不动产登记机构应当设立不动产登记便民服务网点，利用智能审批技术，实行智能申请、受理、审核、登簿、查询。</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不动产登记机构应当与公用企事业单位加强协作，实现不动产登记与水、电、气、</w:t>
      </w:r>
      <w:r>
        <w:rPr>
          <w:rFonts w:hint="eastAsia" w:ascii="仿宋" w:hAnsi="仿宋" w:eastAsia="仿宋" w:cs="仿宋"/>
          <w:color w:val="000000" w:themeColor="text1"/>
          <w:sz w:val="32"/>
          <w:szCs w:val="32"/>
          <w:highlight w:val="none"/>
          <w:lang w:eastAsia="zh-CN"/>
          <w14:textFill>
            <w14:solidFill>
              <w14:schemeClr w14:val="tx1"/>
            </w14:solidFill>
          </w14:textFill>
        </w:rPr>
        <w:t>广电网络</w:t>
      </w:r>
      <w:r>
        <w:rPr>
          <w:rFonts w:hint="eastAsia" w:ascii="仿宋" w:hAnsi="仿宋" w:eastAsia="仿宋" w:cs="仿宋"/>
          <w:color w:val="000000" w:themeColor="text1"/>
          <w:sz w:val="32"/>
          <w:szCs w:val="32"/>
          <w:highlight w:val="none"/>
          <w14:textFill>
            <w14:solidFill>
              <w14:schemeClr w14:val="tx1"/>
            </w14:solidFill>
          </w14:textFill>
        </w:rPr>
        <w:t>联动办理。</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市场主体可以根据国家、省和本市</w:t>
      </w:r>
      <w:r>
        <w:rPr>
          <w:rFonts w:hint="eastAsia" w:ascii="仿宋" w:hAnsi="仿宋" w:eastAsia="仿宋" w:cs="仿宋"/>
          <w:color w:val="000000" w:themeColor="text1"/>
          <w:sz w:val="32"/>
          <w:szCs w:val="32"/>
          <w:highlight w:val="none"/>
          <w:lang w:eastAsia="zh-CN"/>
          <w14:textFill>
            <w14:solidFill>
              <w14:schemeClr w14:val="tx1"/>
            </w14:solidFill>
          </w14:textFill>
        </w:rPr>
        <w:t>有关</w:t>
      </w:r>
      <w:r>
        <w:rPr>
          <w:rFonts w:hint="eastAsia" w:ascii="仿宋" w:hAnsi="仿宋" w:eastAsia="仿宋" w:cs="仿宋"/>
          <w:color w:val="000000" w:themeColor="text1"/>
          <w:sz w:val="32"/>
          <w:szCs w:val="32"/>
          <w:highlight w:val="none"/>
          <w14:textFill>
            <w14:solidFill>
              <w14:schemeClr w14:val="tx1"/>
            </w14:solidFill>
          </w14:textFill>
        </w:rPr>
        <w:t>规定，查询不动产登记资料和地籍图、宗地图信息，不动产登记机构应当免费提供网上查询、现场查询和自助查询服务。</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92" w:name="_Toc69375848"/>
      <w:bookmarkEnd w:id="92"/>
      <w:bookmarkStart w:id="93" w:name="_Toc69375841"/>
      <w:bookmarkEnd w:id="93"/>
      <w:bookmarkStart w:id="94" w:name="_Toc69120772"/>
      <w:bookmarkEnd w:id="94"/>
      <w:bookmarkStart w:id="95" w:name="_Toc69375846"/>
      <w:bookmarkEnd w:id="95"/>
      <w:bookmarkStart w:id="96" w:name="_Toc67498985"/>
      <w:bookmarkEnd w:id="96"/>
      <w:bookmarkStart w:id="97" w:name="_Toc69375836"/>
      <w:bookmarkEnd w:id="97"/>
      <w:bookmarkStart w:id="98" w:name="_Toc69375834"/>
      <w:bookmarkEnd w:id="98"/>
      <w:bookmarkStart w:id="99" w:name="_Toc69375850"/>
      <w:bookmarkEnd w:id="99"/>
      <w:bookmarkStart w:id="100" w:name="_Toc69375838"/>
      <w:bookmarkEnd w:id="100"/>
      <w:bookmarkStart w:id="101" w:name="_Toc69120628"/>
      <w:bookmarkEnd w:id="101"/>
      <w:bookmarkStart w:id="102" w:name="_Toc69122915"/>
      <w:bookmarkEnd w:id="102"/>
      <w:bookmarkStart w:id="103" w:name="_Toc67919235"/>
      <w:bookmarkStart w:id="104" w:name="_Toc70090171"/>
      <w:r>
        <w:rPr>
          <w:rFonts w:hint="eastAsia" w:ascii="仿宋" w:hAnsi="仿宋" w:eastAsia="仿宋" w:cs="仿宋"/>
          <w:b/>
          <w:bCs/>
          <w:color w:val="000000" w:themeColor="text1"/>
          <w:sz w:val="32"/>
          <w:szCs w:val="32"/>
          <w:highlight w:val="none"/>
          <w:lang w:eastAsia="zh-CN"/>
          <w14:textFill>
            <w14:solidFill>
              <w14:schemeClr w14:val="tx1"/>
            </w14:solidFill>
          </w14:textFill>
        </w:rPr>
        <w:t>第四十条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税费缴纳</w:t>
      </w:r>
      <w:r>
        <w:rPr>
          <w:rFonts w:hint="eastAsia" w:ascii="仿宋" w:hAnsi="仿宋" w:eastAsia="仿宋" w:cs="仿宋"/>
          <w:b/>
          <w:bCs/>
          <w:color w:val="000000" w:themeColor="text1"/>
          <w:sz w:val="32"/>
          <w:szCs w:val="32"/>
          <w:highlight w:val="none"/>
          <w14:textFill>
            <w14:solidFill>
              <w14:schemeClr w14:val="tx1"/>
            </w14:solidFill>
          </w14:textFill>
        </w:rPr>
        <w:t>服务】</w:t>
      </w:r>
      <w:bookmarkEnd w:id="103"/>
      <w:bookmarkEnd w:id="104"/>
      <w:r>
        <w:rPr>
          <w:rFonts w:hint="eastAsia" w:ascii="仿宋" w:hAnsi="仿宋" w:eastAsia="仿宋" w:cs="仿宋"/>
          <w:color w:val="000000" w:themeColor="text1"/>
          <w:sz w:val="32"/>
          <w:szCs w:val="32"/>
          <w:highlight w:val="none"/>
          <w14:textFill>
            <w14:solidFill>
              <w14:schemeClr w14:val="tx1"/>
            </w14:solidFill>
          </w14:textFill>
        </w:rPr>
        <w:t>税务、人力资源和社会保障、住房、医保等部门在确保信息安全的前提下，应当为市场主体缴纳税费提供下列便利措施：</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㈠推动</w:t>
      </w:r>
      <w:r>
        <w:rPr>
          <w:rFonts w:hint="eastAsia" w:ascii="仿宋" w:hAnsi="仿宋" w:eastAsia="仿宋" w:cs="仿宋"/>
          <w:color w:val="000000" w:themeColor="text1"/>
          <w:sz w:val="32"/>
          <w:szCs w:val="32"/>
          <w:highlight w:val="none"/>
          <w:lang w:eastAsia="zh-CN"/>
          <w14:textFill>
            <w14:solidFill>
              <w14:schemeClr w14:val="tx1"/>
            </w14:solidFill>
          </w14:textFill>
        </w:rPr>
        <w:t>社会保险费</w:t>
      </w:r>
      <w:r>
        <w:rPr>
          <w:rFonts w:hint="eastAsia" w:ascii="仿宋" w:hAnsi="仿宋" w:eastAsia="仿宋" w:cs="仿宋"/>
          <w:color w:val="000000" w:themeColor="text1"/>
          <w:sz w:val="32"/>
          <w:szCs w:val="32"/>
          <w:highlight w:val="none"/>
          <w14:textFill>
            <w14:solidFill>
              <w14:schemeClr w14:val="tx1"/>
            </w14:solidFill>
          </w14:textFill>
        </w:rPr>
        <w:t>、住房公积金等合并申报及缴纳，减少市场主体缴纳次数和办理时间；</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㈡推进税费事项网上办、掌上办，拓展非接触式办税缴费服务；</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㈢简化增值税等税收优惠政策申报程序，</w:t>
      </w:r>
      <w:r>
        <w:rPr>
          <w:rFonts w:hint="eastAsia" w:ascii="仿宋" w:hAnsi="仿宋" w:eastAsia="仿宋" w:cs="仿宋"/>
          <w:color w:val="000000" w:themeColor="text1"/>
          <w:sz w:val="32"/>
          <w:szCs w:val="32"/>
          <w:highlight w:val="none"/>
          <w:lang w:eastAsia="zh-CN"/>
          <w14:textFill>
            <w14:solidFill>
              <w14:schemeClr w14:val="tx1"/>
            </w14:solidFill>
          </w14:textFill>
        </w:rPr>
        <w:t>除</w:t>
      </w:r>
      <w:r>
        <w:rPr>
          <w:rFonts w:hint="eastAsia" w:ascii="仿宋" w:hAnsi="仿宋" w:eastAsia="仿宋" w:cs="仿宋"/>
          <w:color w:val="000000" w:themeColor="text1"/>
          <w:sz w:val="32"/>
          <w:szCs w:val="32"/>
          <w:highlight w:val="none"/>
          <w14:textFill>
            <w14:solidFill>
              <w14:schemeClr w14:val="tx1"/>
            </w14:solidFill>
          </w14:textFill>
        </w:rPr>
        <w:t>法定要求外不得设置流转环节；</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㈣及时对市场主体进行纳税缴费提醒和风险提示；</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㈤推行电子发票、电子缴费凭证以及其他电子票据、凭证；</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㈥推动智慧税收大数据建设，探索涉税服务事项异地通办和税种综合申报制度。</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05" w:name="_Toc69375852"/>
      <w:bookmarkEnd w:id="105"/>
      <w:bookmarkStart w:id="106" w:name="_Toc67919236"/>
      <w:bookmarkStart w:id="107" w:name="_Toc70090172"/>
      <w:r>
        <w:rPr>
          <w:rFonts w:hint="eastAsia" w:ascii="仿宋" w:hAnsi="仿宋" w:eastAsia="仿宋" w:cs="仿宋"/>
          <w:b/>
          <w:bCs/>
          <w:color w:val="000000" w:themeColor="text1"/>
          <w:sz w:val="32"/>
          <w:szCs w:val="32"/>
          <w:highlight w:val="none"/>
          <w:lang w:eastAsia="zh-CN"/>
          <w14:textFill>
            <w14:solidFill>
              <w14:schemeClr w14:val="tx1"/>
            </w14:solidFill>
          </w14:textFill>
        </w:rPr>
        <w:t>第四十一条</w:t>
      </w:r>
      <w:r>
        <w:rPr>
          <w:rFonts w:hint="eastAsia" w:ascii="仿宋" w:hAnsi="仿宋" w:eastAsia="仿宋" w:cs="仿宋"/>
          <w:b/>
          <w:bCs/>
          <w:color w:val="000000" w:themeColor="text1"/>
          <w:sz w:val="32"/>
          <w:szCs w:val="32"/>
          <w:highlight w:val="none"/>
          <w14:textFill>
            <w14:solidFill>
              <w14:schemeClr w14:val="tx1"/>
            </w14:solidFill>
          </w14:textFill>
        </w:rPr>
        <w:t>【行政事业性收费服务】</w:t>
      </w:r>
      <w:bookmarkEnd w:id="106"/>
      <w:bookmarkEnd w:id="107"/>
      <w:r>
        <w:rPr>
          <w:rFonts w:hint="eastAsia" w:ascii="仿宋" w:hAnsi="仿宋" w:eastAsia="仿宋" w:cs="仿宋"/>
          <w:color w:val="000000" w:themeColor="text1"/>
          <w:sz w:val="32"/>
          <w:szCs w:val="32"/>
          <w:highlight w:val="none"/>
          <w14:textFill>
            <w14:solidFill>
              <w14:schemeClr w14:val="tx1"/>
            </w14:solidFill>
          </w14:textFill>
        </w:rPr>
        <w:t>市、区人民政府依法</w:t>
      </w:r>
      <w:r>
        <w:rPr>
          <w:rFonts w:hint="eastAsia" w:ascii="仿宋" w:hAnsi="仿宋" w:eastAsia="仿宋" w:cs="仿宋"/>
          <w:color w:val="000000" w:themeColor="text1"/>
          <w:sz w:val="32"/>
          <w:szCs w:val="32"/>
          <w:highlight w:val="none"/>
          <w:lang w:eastAsia="zh-CN"/>
          <w14:textFill>
            <w14:solidFill>
              <w14:schemeClr w14:val="tx1"/>
            </w14:solidFill>
          </w14:textFill>
        </w:rPr>
        <w:t>征收政府性基金、涉企行政事业性收费，规范涉企保证金以及实行政府定价或者政府指导价的经营服务性收费项目。</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政府性基金、涉企保证金设置上下限标准的，符合规定的可以按照下限标准收取。对于信用记录良好的企业，可以按照规定降低保证金比例、分期收缴。</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推广以金融机构保函、保证保险等替代现金缴纳涉企保证金。推行电子担保保函替代现金投标保证金和履约保证金</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信用评价等级高的市场主体</w:t>
      </w:r>
      <w:r>
        <w:rPr>
          <w:rFonts w:hint="eastAsia" w:ascii="仿宋" w:hAnsi="仿宋" w:eastAsia="仿宋" w:cs="仿宋"/>
          <w:color w:val="000000" w:themeColor="text1"/>
          <w:sz w:val="32"/>
          <w:szCs w:val="32"/>
          <w:highlight w:val="none"/>
          <w:lang w:eastAsia="zh-CN"/>
          <w14:textFill>
            <w14:solidFill>
              <w14:schemeClr w14:val="tx1"/>
            </w14:solidFill>
          </w14:textFill>
        </w:rPr>
        <w:t>可以</w:t>
      </w:r>
      <w:r>
        <w:rPr>
          <w:rFonts w:hint="eastAsia" w:ascii="仿宋" w:hAnsi="仿宋" w:eastAsia="仿宋" w:cs="仿宋"/>
          <w:color w:val="000000" w:themeColor="text1"/>
          <w:sz w:val="32"/>
          <w:szCs w:val="32"/>
          <w:highlight w:val="none"/>
          <w14:textFill>
            <w14:solidFill>
              <w14:schemeClr w14:val="tx1"/>
            </w14:solidFill>
          </w14:textFill>
        </w:rPr>
        <w:t>免电子担保保函</w:t>
      </w:r>
      <w:r>
        <w:rPr>
          <w:rFonts w:hint="eastAsia" w:ascii="仿宋" w:hAnsi="仿宋" w:eastAsia="仿宋" w:cs="仿宋"/>
          <w:color w:val="000000" w:themeColor="text1"/>
          <w:sz w:val="32"/>
          <w:szCs w:val="32"/>
          <w:highlight w:val="none"/>
          <w:lang w:eastAsia="zh-CN"/>
          <w14:textFill>
            <w14:solidFill>
              <w14:schemeClr w14:val="tx1"/>
            </w14:solidFill>
          </w14:textFill>
        </w:rPr>
        <w:t>或者</w:t>
      </w:r>
      <w:r>
        <w:rPr>
          <w:rFonts w:hint="eastAsia" w:ascii="仿宋" w:hAnsi="仿宋" w:eastAsia="仿宋" w:cs="仿宋"/>
          <w:color w:val="000000" w:themeColor="text1"/>
          <w:sz w:val="32"/>
          <w:szCs w:val="32"/>
          <w:highlight w:val="none"/>
          <w14:textFill>
            <w14:solidFill>
              <w14:schemeClr w14:val="tx1"/>
            </w14:solidFill>
          </w14:textFill>
        </w:rPr>
        <w:t>减免现金保证金。</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08" w:name="_Toc67919227"/>
      <w:bookmarkStart w:id="109" w:name="_Toc70090165"/>
      <w:r>
        <w:rPr>
          <w:rFonts w:hint="eastAsia" w:ascii="仿宋" w:hAnsi="仿宋" w:eastAsia="仿宋" w:cs="仿宋"/>
          <w:b/>
          <w:bCs/>
          <w:color w:val="000000" w:themeColor="text1"/>
          <w:sz w:val="32"/>
          <w:szCs w:val="32"/>
          <w:highlight w:val="none"/>
          <w:lang w:eastAsia="zh-CN"/>
          <w14:textFill>
            <w14:solidFill>
              <w14:schemeClr w14:val="tx1"/>
            </w14:solidFill>
          </w14:textFill>
        </w:rPr>
        <w:t>第四十二条</w:t>
      </w:r>
      <w:r>
        <w:rPr>
          <w:rFonts w:hint="eastAsia" w:ascii="仿宋" w:hAnsi="仿宋" w:eastAsia="仿宋" w:cs="仿宋"/>
          <w:b/>
          <w:bCs/>
          <w:color w:val="000000" w:themeColor="text1"/>
          <w:sz w:val="32"/>
          <w:szCs w:val="32"/>
          <w:highlight w:val="none"/>
          <w14:textFill>
            <w14:solidFill>
              <w14:schemeClr w14:val="tx1"/>
            </w14:solidFill>
          </w14:textFill>
        </w:rPr>
        <w:t>【公用服务】</w:t>
      </w:r>
      <w:bookmarkEnd w:id="108"/>
      <w:bookmarkEnd w:id="109"/>
      <w:r>
        <w:rPr>
          <w:rFonts w:hint="eastAsia" w:ascii="仿宋" w:hAnsi="仿宋" w:eastAsia="仿宋" w:cs="仿宋"/>
          <w:color w:val="000000" w:themeColor="text1"/>
          <w:sz w:val="32"/>
          <w:szCs w:val="32"/>
          <w:highlight w:val="none"/>
          <w14:textFill>
            <w14:solidFill>
              <w14:schemeClr w14:val="tx1"/>
            </w14:solidFill>
          </w14:textFill>
        </w:rPr>
        <w:t>供水、供电、供气、排水与污水处理等公用企事业单位应当在经营场所的显著位置和官方网站公开服务范围、标准、收费、流程、完成时限等信息，</w:t>
      </w:r>
      <w:r>
        <w:rPr>
          <w:rFonts w:hint="eastAsia" w:ascii="仿宋" w:hAnsi="仿宋" w:eastAsia="仿宋" w:cs="仿宋"/>
          <w:color w:val="000000" w:themeColor="text1"/>
          <w:sz w:val="32"/>
          <w:szCs w:val="32"/>
          <w:highlight w:val="none"/>
          <w:lang w:eastAsia="zh-CN"/>
          <w14:textFill>
            <w14:solidFill>
              <w14:schemeClr w14:val="tx1"/>
            </w14:solidFill>
          </w14:textFill>
        </w:rPr>
        <w:t>推行</w:t>
      </w:r>
      <w:r>
        <w:rPr>
          <w:rFonts w:hint="eastAsia" w:ascii="仿宋" w:hAnsi="仿宋" w:eastAsia="仿宋" w:cs="仿宋"/>
          <w:color w:val="000000" w:themeColor="text1"/>
          <w:sz w:val="32"/>
          <w:szCs w:val="32"/>
          <w:highlight w:val="none"/>
          <w14:textFill>
            <w14:solidFill>
              <w14:schemeClr w14:val="tx1"/>
            </w14:solidFill>
          </w14:textFill>
        </w:rPr>
        <w:t>网上办理、移动支付等便利业务，优化流程、减少申报材料和压缩办理时限。</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推动</w:t>
      </w:r>
      <w:r>
        <w:rPr>
          <w:rFonts w:hint="eastAsia" w:ascii="仿宋" w:hAnsi="仿宋" w:eastAsia="仿宋" w:cs="仿宋"/>
          <w:color w:val="000000" w:themeColor="text1"/>
          <w:sz w:val="32"/>
          <w:szCs w:val="32"/>
          <w:highlight w:val="none"/>
          <w14:textFill>
            <w14:solidFill>
              <w14:schemeClr w14:val="tx1"/>
            </w14:solidFill>
          </w14:textFill>
        </w:rPr>
        <w:t>自然资源和规划、建设、行政审批管理等有关部门与供水、供电、供气、排水与污水处理等公用企事业单位共享业务信息，实现开发建设单位报装一网通办或者网上联办。市电力</w:t>
      </w:r>
      <w:r>
        <w:rPr>
          <w:rFonts w:hint="eastAsia" w:ascii="仿宋" w:hAnsi="仿宋" w:eastAsia="仿宋" w:cs="仿宋"/>
          <w:color w:val="000000" w:themeColor="text1"/>
          <w:sz w:val="32"/>
          <w:szCs w:val="32"/>
          <w:highlight w:val="none"/>
          <w:lang w:eastAsia="zh-CN"/>
          <w14:textFill>
            <w14:solidFill>
              <w14:schemeClr w14:val="tx1"/>
            </w14:solidFill>
          </w14:textFill>
        </w:rPr>
        <w:t>管理</w:t>
      </w:r>
      <w:r>
        <w:rPr>
          <w:rFonts w:hint="eastAsia" w:ascii="仿宋" w:hAnsi="仿宋" w:eastAsia="仿宋" w:cs="仿宋"/>
          <w:color w:val="000000" w:themeColor="text1"/>
          <w:sz w:val="32"/>
          <w:szCs w:val="32"/>
          <w:highlight w:val="none"/>
          <w14:textFill>
            <w14:solidFill>
              <w14:schemeClr w14:val="tx1"/>
            </w14:solidFill>
          </w14:textFill>
        </w:rPr>
        <w:t>部门应当加强对供电企业供电的监督。</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供电企业应当保障供电设施正常、稳定运行，确保供电质量符合国家规定</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供电质量</w:t>
      </w:r>
      <w:r>
        <w:rPr>
          <w:rFonts w:hint="eastAsia" w:ascii="仿宋" w:hAnsi="仿宋" w:eastAsia="仿宋" w:cs="仿宋"/>
          <w:color w:val="000000" w:themeColor="text1"/>
          <w:sz w:val="32"/>
          <w:szCs w:val="32"/>
          <w:highlight w:val="none"/>
          <w:lang w:eastAsia="zh-CN"/>
          <w14:textFill>
            <w14:solidFill>
              <w14:schemeClr w14:val="tx1"/>
            </w14:solidFill>
          </w14:textFill>
        </w:rPr>
        <w:t>不符合国家规定</w:t>
      </w:r>
      <w:r>
        <w:rPr>
          <w:rFonts w:hint="eastAsia" w:ascii="仿宋" w:hAnsi="仿宋" w:eastAsia="仿宋" w:cs="仿宋"/>
          <w:color w:val="000000" w:themeColor="text1"/>
          <w:sz w:val="32"/>
          <w:szCs w:val="32"/>
          <w:highlight w:val="none"/>
          <w14:textFill>
            <w14:solidFill>
              <w14:schemeClr w14:val="tx1"/>
            </w14:solidFill>
          </w14:textFill>
        </w:rPr>
        <w:t>或者违法中断供电，给用户造成损失的，应当依法承担赔偿责任</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供电企业</w:t>
      </w:r>
      <w:r>
        <w:rPr>
          <w:rFonts w:hint="eastAsia" w:ascii="仿宋" w:hAnsi="仿宋" w:eastAsia="仿宋" w:cs="仿宋"/>
          <w:color w:val="000000" w:themeColor="text1"/>
          <w:sz w:val="32"/>
          <w:szCs w:val="32"/>
          <w:highlight w:val="none"/>
          <w14:textFill>
            <w14:solidFill>
              <w14:schemeClr w14:val="tx1"/>
            </w14:solidFill>
          </w14:textFill>
        </w:rPr>
        <w:t>逐步将电网投资界面延伸至居民用户和低压小微企业用户红线（含计量装置）；建立电力需求响应机制，提供用电用能诊断和能效分析服务，</w:t>
      </w:r>
      <w:r>
        <w:rPr>
          <w:rFonts w:hint="eastAsia" w:ascii="仿宋" w:hAnsi="仿宋" w:eastAsia="仿宋" w:cs="仿宋"/>
          <w:color w:val="000000" w:themeColor="text1"/>
          <w:sz w:val="32"/>
          <w:szCs w:val="32"/>
          <w:highlight w:val="none"/>
          <w:lang w:eastAsia="zh-CN"/>
          <w14:textFill>
            <w14:solidFill>
              <w14:schemeClr w14:val="tx1"/>
            </w14:solidFill>
          </w14:textFill>
        </w:rPr>
        <w:t>以及</w:t>
      </w:r>
      <w:r>
        <w:rPr>
          <w:rFonts w:hint="eastAsia" w:ascii="仿宋" w:hAnsi="仿宋" w:eastAsia="仿宋" w:cs="仿宋"/>
          <w:color w:val="000000" w:themeColor="text1"/>
          <w:sz w:val="32"/>
          <w:szCs w:val="32"/>
          <w:highlight w:val="none"/>
          <w14:textFill>
            <w14:solidFill>
              <w14:schemeClr w14:val="tx1"/>
            </w14:solidFill>
          </w14:textFill>
        </w:rPr>
        <w:t>含设计、施工、运维、销户等“用电工程整体租赁”服务。</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10" w:name="_Toc70090161"/>
      <w:bookmarkStart w:id="111" w:name="_Toc67919223"/>
      <w:r>
        <w:rPr>
          <w:rFonts w:hint="eastAsia" w:ascii="仿宋" w:hAnsi="仿宋" w:eastAsia="仿宋" w:cs="仿宋"/>
          <w:b/>
          <w:bCs/>
          <w:color w:val="000000" w:themeColor="text1"/>
          <w:sz w:val="32"/>
          <w:szCs w:val="32"/>
          <w:highlight w:val="none"/>
          <w:lang w:eastAsia="zh-CN"/>
          <w14:textFill>
            <w14:solidFill>
              <w14:schemeClr w14:val="tx1"/>
            </w14:solidFill>
          </w14:textFill>
        </w:rPr>
        <w:t>第四十三条</w:t>
      </w:r>
      <w:r>
        <w:rPr>
          <w:rFonts w:hint="eastAsia" w:ascii="仿宋" w:hAnsi="仿宋" w:eastAsia="仿宋" w:cs="仿宋"/>
          <w:b/>
          <w:bCs/>
          <w:color w:val="000000" w:themeColor="text1"/>
          <w:sz w:val="32"/>
          <w:szCs w:val="32"/>
          <w:highlight w:val="none"/>
          <w14:textFill>
            <w14:solidFill>
              <w14:schemeClr w14:val="tx1"/>
            </w14:solidFill>
          </w14:textFill>
        </w:rPr>
        <w:t>【政策服务】</w:t>
      </w:r>
      <w:bookmarkEnd w:id="110"/>
      <w:bookmarkEnd w:id="111"/>
      <w:r>
        <w:rPr>
          <w:rFonts w:hint="eastAsia" w:ascii="仿宋" w:hAnsi="仿宋" w:eastAsia="仿宋" w:cs="仿宋"/>
          <w:color w:val="000000" w:themeColor="text1"/>
          <w:sz w:val="32"/>
          <w:szCs w:val="32"/>
          <w:highlight w:val="none"/>
          <w14:textFill>
            <w14:solidFill>
              <w14:schemeClr w14:val="tx1"/>
            </w14:solidFill>
          </w14:textFill>
        </w:rPr>
        <w:t>市、区人民政府</w:t>
      </w:r>
      <w:r>
        <w:rPr>
          <w:rFonts w:hint="eastAsia" w:ascii="仿宋" w:hAnsi="仿宋" w:eastAsia="仿宋" w:cs="仿宋"/>
          <w:color w:val="000000" w:themeColor="text1"/>
          <w:sz w:val="32"/>
          <w:szCs w:val="32"/>
          <w:highlight w:val="none"/>
          <w:lang w:eastAsia="zh-CN"/>
          <w14:textFill>
            <w14:solidFill>
              <w14:schemeClr w14:val="tx1"/>
            </w14:solidFill>
          </w14:textFill>
        </w:rPr>
        <w:t>及</w:t>
      </w:r>
      <w:r>
        <w:rPr>
          <w:rFonts w:hint="eastAsia" w:ascii="仿宋" w:hAnsi="仿宋" w:eastAsia="仿宋" w:cs="仿宋"/>
          <w:color w:val="000000" w:themeColor="text1"/>
          <w:sz w:val="32"/>
          <w:szCs w:val="32"/>
          <w:highlight w:val="none"/>
          <w14:textFill>
            <w14:solidFill>
              <w14:schemeClr w14:val="tx1"/>
            </w14:solidFill>
          </w14:textFill>
        </w:rPr>
        <w:t>有关部门应当</w:t>
      </w:r>
      <w:r>
        <w:rPr>
          <w:rFonts w:hint="eastAsia" w:ascii="仿宋" w:hAnsi="仿宋" w:eastAsia="仿宋" w:cs="仿宋"/>
          <w:color w:val="000000" w:themeColor="text1"/>
          <w:sz w:val="32"/>
          <w:szCs w:val="32"/>
          <w:highlight w:val="none"/>
          <w:lang w:eastAsia="zh-CN"/>
          <w14:textFill>
            <w14:solidFill>
              <w14:schemeClr w14:val="tx1"/>
            </w14:solidFill>
          </w14:textFill>
        </w:rPr>
        <w:t>建立健全</w:t>
      </w:r>
      <w:r>
        <w:rPr>
          <w:rFonts w:hint="eastAsia" w:ascii="仿宋" w:hAnsi="仿宋" w:eastAsia="仿宋" w:cs="仿宋"/>
          <w:color w:val="000000" w:themeColor="text1"/>
          <w:sz w:val="32"/>
          <w:szCs w:val="32"/>
          <w:highlight w:val="none"/>
          <w14:textFill>
            <w14:solidFill>
              <w14:schemeClr w14:val="tx1"/>
            </w14:solidFill>
          </w14:textFill>
        </w:rPr>
        <w:t>涉及市场主体的政策信息公开发布制度，</w:t>
      </w:r>
      <w:r>
        <w:rPr>
          <w:rFonts w:hint="eastAsia" w:ascii="仿宋" w:hAnsi="仿宋" w:eastAsia="仿宋" w:cs="仿宋"/>
          <w:color w:val="000000" w:themeColor="text1"/>
          <w:sz w:val="32"/>
          <w:szCs w:val="32"/>
          <w:highlight w:val="none"/>
          <w:lang w:eastAsia="zh-CN"/>
          <w14:textFill>
            <w14:solidFill>
              <w14:schemeClr w14:val="tx1"/>
            </w14:solidFill>
          </w14:textFill>
        </w:rPr>
        <w:t>完善政府网站等政务媒体的惠企政策集中发布、归类展示、查询搜索等功能，为市场主体提供统一便捷的获取渠道，提高市场主体对惠企政策的知晓度。</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有关部门应当以新闻发布会、书面问答、在线访谈、专家解读等形式，对涉及市场主体的简政、税收优惠、降费、项目申报、经费补贴等方面的法律、法规、规章及有关政策文件进行宣传、解读和接受咨询。</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有关部门应当梳理公布涉企政策清单及申报指南，根据企业所属行业、规模等主动精准推送政策。鼓励推行涉企政策“免申即享”，通过政府部门信息共享等方式，实现符合条件的企业免于申报、直接享受政策。</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第四十四条【招商推介】</w:t>
      </w:r>
      <w:r>
        <w:rPr>
          <w:rFonts w:hint="eastAsia" w:ascii="仿宋" w:hAnsi="仿宋" w:eastAsia="仿宋" w:cs="仿宋"/>
          <w:color w:val="000000" w:themeColor="text1"/>
          <w:sz w:val="32"/>
          <w:szCs w:val="32"/>
          <w:highlight w:val="none"/>
          <w:lang w:val="en-US" w:eastAsia="zh-CN"/>
          <w14:textFill>
            <w14:solidFill>
              <w14:schemeClr w14:val="tx1"/>
            </w14:solidFill>
          </w14:textFill>
        </w:rPr>
        <w:t>市、区人民政府及有关部门应当向市场主体全面推介厦门营商环境、投资政策和投资信息，提供产业用地供应、产业链合作对接、人才创新合作等方面的资讯，做好市场主体在本市投资考察的服务。</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12" w:name="_Toc70090163"/>
      <w:bookmarkStart w:id="113" w:name="_Toc67919225"/>
      <w:r>
        <w:rPr>
          <w:rFonts w:hint="eastAsia" w:ascii="仿宋" w:hAnsi="仿宋" w:eastAsia="仿宋" w:cs="仿宋"/>
          <w:b/>
          <w:bCs/>
          <w:color w:val="000000" w:themeColor="text1"/>
          <w:sz w:val="32"/>
          <w:szCs w:val="32"/>
          <w:highlight w:val="none"/>
          <w:lang w:eastAsia="zh-CN"/>
          <w14:textFill>
            <w14:solidFill>
              <w14:schemeClr w14:val="tx1"/>
            </w14:solidFill>
          </w14:textFill>
        </w:rPr>
        <w:t>第四十五条</w:t>
      </w:r>
      <w:r>
        <w:rPr>
          <w:rFonts w:hint="eastAsia" w:ascii="仿宋" w:hAnsi="仿宋" w:eastAsia="仿宋" w:cs="仿宋"/>
          <w:b/>
          <w:bCs/>
          <w:color w:val="000000" w:themeColor="text1"/>
          <w:sz w:val="32"/>
          <w:szCs w:val="32"/>
          <w:highlight w:val="none"/>
          <w14:textFill>
            <w14:solidFill>
              <w14:schemeClr w14:val="tx1"/>
            </w14:solidFill>
          </w14:textFill>
        </w:rPr>
        <w:t>【招商服务】</w:t>
      </w:r>
      <w:bookmarkEnd w:id="112"/>
      <w:bookmarkEnd w:id="113"/>
      <w:r>
        <w:rPr>
          <w:rFonts w:hint="eastAsia" w:ascii="仿宋" w:hAnsi="仿宋" w:eastAsia="仿宋" w:cs="仿宋"/>
          <w:color w:val="000000" w:themeColor="text1"/>
          <w:sz w:val="32"/>
          <w:szCs w:val="32"/>
          <w:highlight w:val="none"/>
          <w14:textFill>
            <w14:solidFill>
              <w14:schemeClr w14:val="tx1"/>
            </w14:solidFill>
          </w14:textFill>
        </w:rPr>
        <w:t>市、区人民政府及有关部门应当建立</w:t>
      </w:r>
      <w:r>
        <w:rPr>
          <w:rFonts w:hint="eastAsia" w:ascii="仿宋" w:hAnsi="仿宋" w:eastAsia="仿宋" w:cs="仿宋"/>
          <w:color w:val="000000" w:themeColor="text1"/>
          <w:sz w:val="32"/>
          <w:szCs w:val="32"/>
          <w:highlight w:val="none"/>
          <w:lang w:eastAsia="zh-CN"/>
          <w14:textFill>
            <w14:solidFill>
              <w14:schemeClr w14:val="tx1"/>
            </w14:solidFill>
          </w14:textFill>
        </w:rPr>
        <w:t>优质</w:t>
      </w:r>
      <w:r>
        <w:rPr>
          <w:rFonts w:hint="eastAsia" w:ascii="仿宋" w:hAnsi="仿宋" w:eastAsia="仿宋" w:cs="仿宋"/>
          <w:color w:val="000000" w:themeColor="text1"/>
          <w:sz w:val="32"/>
          <w:szCs w:val="32"/>
          <w:highlight w:val="none"/>
          <w14:textFill>
            <w14:solidFill>
              <w14:schemeClr w14:val="tx1"/>
            </w14:solidFill>
          </w14:textFill>
        </w:rPr>
        <w:t>招商项目落地保障制度</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完善投资项目服务推进机制，强化跟踪服务，及时协调解决投资项目</w:t>
      </w:r>
      <w:r>
        <w:rPr>
          <w:rFonts w:hint="eastAsia" w:ascii="仿宋" w:hAnsi="仿宋" w:eastAsia="仿宋" w:cs="仿宋"/>
          <w:color w:val="000000" w:themeColor="text1"/>
          <w:sz w:val="32"/>
          <w:szCs w:val="32"/>
          <w:highlight w:val="none"/>
          <w:lang w:eastAsia="zh-CN"/>
          <w14:textFill>
            <w14:solidFill>
              <w14:schemeClr w14:val="tx1"/>
            </w14:solidFill>
          </w14:textFill>
        </w:rPr>
        <w:t>审批、要素保障、</w:t>
      </w:r>
      <w:r>
        <w:rPr>
          <w:rFonts w:hint="eastAsia" w:ascii="仿宋" w:hAnsi="仿宋" w:eastAsia="仿宋" w:cs="仿宋"/>
          <w:color w:val="000000" w:themeColor="text1"/>
          <w:sz w:val="32"/>
          <w:szCs w:val="32"/>
          <w:highlight w:val="none"/>
          <w14:textFill>
            <w14:solidFill>
              <w14:schemeClr w14:val="tx1"/>
            </w14:solidFill>
          </w14:textFill>
        </w:rPr>
        <w:t>建设</w:t>
      </w:r>
      <w:r>
        <w:rPr>
          <w:rFonts w:hint="eastAsia" w:ascii="仿宋" w:hAnsi="仿宋" w:eastAsia="仿宋" w:cs="仿宋"/>
          <w:color w:val="000000" w:themeColor="text1"/>
          <w:sz w:val="32"/>
          <w:szCs w:val="32"/>
          <w:highlight w:val="none"/>
          <w:lang w:eastAsia="zh-CN"/>
          <w14:textFill>
            <w14:solidFill>
              <w14:schemeClr w14:val="tx1"/>
            </w14:solidFill>
          </w14:textFill>
        </w:rPr>
        <w:t>和生产经营</w:t>
      </w:r>
      <w:r>
        <w:rPr>
          <w:rFonts w:hint="eastAsia" w:ascii="仿宋" w:hAnsi="仿宋" w:eastAsia="仿宋" w:cs="仿宋"/>
          <w:color w:val="000000" w:themeColor="text1"/>
          <w:sz w:val="32"/>
          <w:szCs w:val="32"/>
          <w:highlight w:val="none"/>
          <w14:textFill>
            <w14:solidFill>
              <w14:schemeClr w14:val="tx1"/>
            </w14:solidFill>
          </w14:textFill>
        </w:rPr>
        <w:t>中的</w:t>
      </w:r>
      <w:r>
        <w:rPr>
          <w:rFonts w:hint="eastAsia" w:ascii="仿宋" w:hAnsi="仿宋" w:eastAsia="仿宋" w:cs="仿宋"/>
          <w:color w:val="000000" w:themeColor="text1"/>
          <w:sz w:val="32"/>
          <w:szCs w:val="32"/>
          <w:highlight w:val="none"/>
          <w:lang w:eastAsia="zh-CN"/>
          <w14:textFill>
            <w14:solidFill>
              <w14:schemeClr w14:val="tx1"/>
            </w14:solidFill>
          </w14:textFill>
        </w:rPr>
        <w:t>相关</w:t>
      </w:r>
      <w:r>
        <w:rPr>
          <w:rFonts w:hint="eastAsia" w:ascii="仿宋" w:hAnsi="仿宋" w:eastAsia="仿宋" w:cs="仿宋"/>
          <w:color w:val="000000" w:themeColor="text1"/>
          <w:sz w:val="32"/>
          <w:szCs w:val="32"/>
          <w:highlight w:val="none"/>
          <w14:textFill>
            <w14:solidFill>
              <w14:schemeClr w14:val="tx1"/>
            </w14:solidFill>
          </w14:textFill>
        </w:rPr>
        <w:t>问题，为</w:t>
      </w:r>
      <w:r>
        <w:rPr>
          <w:rFonts w:hint="eastAsia" w:ascii="仿宋" w:hAnsi="仿宋" w:eastAsia="仿宋" w:cs="仿宋"/>
          <w:color w:val="000000" w:themeColor="text1"/>
          <w:sz w:val="32"/>
          <w:szCs w:val="32"/>
          <w:highlight w:val="none"/>
          <w:lang w:eastAsia="zh-CN"/>
          <w14:textFill>
            <w14:solidFill>
              <w14:schemeClr w14:val="tx1"/>
            </w14:solidFill>
          </w14:textFill>
        </w:rPr>
        <w:t>招商项目</w:t>
      </w:r>
      <w:r>
        <w:rPr>
          <w:rFonts w:hint="eastAsia" w:ascii="仿宋" w:hAnsi="仿宋" w:eastAsia="仿宋" w:cs="仿宋"/>
          <w:color w:val="000000" w:themeColor="text1"/>
          <w:sz w:val="32"/>
          <w:szCs w:val="32"/>
          <w:highlight w:val="none"/>
          <w14:textFill>
            <w14:solidFill>
              <w14:schemeClr w14:val="tx1"/>
            </w14:solidFill>
          </w14:textFill>
        </w:rPr>
        <w:t>提供全流程服务保障。</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市、区人民政府应当在法定权限范围内制定招商引资优惠政策，不得作出违背有关法律、法规或者超出本级人民政府法定权限的政策承诺。对招商引资过程中承诺的投资政策和优惠条件，应当按照约定予以兑现。招商引资过程中作出的承诺未经规定程序不得变更。</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市商务部门应当推动完善海外招商促进网络。</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四十六条【投诉处理】</w:t>
      </w:r>
      <w:r>
        <w:rPr>
          <w:rFonts w:hint="eastAsia" w:ascii="仿宋" w:hAnsi="仿宋" w:eastAsia="仿宋" w:cs="仿宋"/>
          <w:color w:val="000000" w:themeColor="text1"/>
          <w:sz w:val="32"/>
          <w:szCs w:val="32"/>
          <w:highlight w:val="none"/>
          <w14:textFill>
            <w14:solidFill>
              <w14:schemeClr w14:val="tx1"/>
            </w14:solidFill>
          </w14:textFill>
        </w:rPr>
        <w:t>市人民政府应</w:t>
      </w:r>
      <w:r>
        <w:rPr>
          <w:rFonts w:hint="eastAsia" w:ascii="仿宋" w:hAnsi="仿宋" w:eastAsia="仿宋" w:cs="仿宋"/>
          <w:color w:val="000000" w:themeColor="text1"/>
          <w:sz w:val="32"/>
          <w:szCs w:val="32"/>
          <w:highlight w:val="none"/>
          <w:lang w:eastAsia="zh-CN"/>
          <w14:textFill>
            <w14:solidFill>
              <w14:schemeClr w14:val="tx1"/>
            </w14:solidFill>
          </w14:textFill>
        </w:rPr>
        <w:t>当</w:t>
      </w:r>
      <w:r>
        <w:rPr>
          <w:rFonts w:hint="eastAsia" w:ascii="仿宋" w:hAnsi="仿宋" w:eastAsia="仿宋" w:cs="仿宋"/>
          <w:color w:val="000000" w:themeColor="text1"/>
          <w:sz w:val="32"/>
          <w:szCs w:val="32"/>
          <w:highlight w:val="none"/>
          <w14:textFill>
            <w14:solidFill>
              <w14:schemeClr w14:val="tx1"/>
            </w14:solidFill>
          </w14:textFill>
        </w:rPr>
        <w:t>强化12345政务服务热线建设和管理，提升受理、转办、办结、督办、研判等工作质量和智能服务水平</w:t>
      </w:r>
      <w:r>
        <w:rPr>
          <w:rFonts w:hint="eastAsia" w:ascii="仿宋" w:hAnsi="仿宋" w:eastAsia="仿宋" w:cs="仿宋"/>
          <w:color w:val="000000" w:themeColor="text1"/>
          <w:sz w:val="32"/>
          <w:szCs w:val="32"/>
          <w:highlight w:val="none"/>
          <w:lang w:eastAsia="zh-CN"/>
          <w14:textFill>
            <w14:solidFill>
              <w14:schemeClr w14:val="tx1"/>
            </w14:solidFill>
          </w14:textFill>
        </w:rPr>
        <w:t>，服务市场主体有关营商环境的咨询和受理投诉举报</w:t>
      </w:r>
      <w:r>
        <w:rPr>
          <w:rFonts w:hint="eastAsia" w:ascii="仿宋" w:hAnsi="仿宋" w:eastAsia="仿宋" w:cs="仿宋"/>
          <w:color w:val="000000" w:themeColor="text1"/>
          <w:sz w:val="32"/>
          <w:szCs w:val="32"/>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14" w:name="_Toc69375857"/>
      <w:bookmarkEnd w:id="114"/>
      <w:bookmarkStart w:id="115" w:name="_Toc67919239"/>
      <w:bookmarkStart w:id="116" w:name="_Toc70090174"/>
      <w:r>
        <w:rPr>
          <w:rFonts w:hint="eastAsia" w:ascii="仿宋" w:hAnsi="仿宋" w:eastAsia="仿宋" w:cs="仿宋"/>
          <w:b/>
          <w:bCs/>
          <w:color w:val="000000" w:themeColor="text1"/>
          <w:sz w:val="32"/>
          <w:szCs w:val="32"/>
          <w:highlight w:val="none"/>
          <w:lang w:eastAsia="zh-CN"/>
          <w14:textFill>
            <w14:solidFill>
              <w14:schemeClr w14:val="tx1"/>
            </w14:solidFill>
          </w14:textFill>
        </w:rPr>
        <w:t>第四十七条</w:t>
      </w:r>
      <w:r>
        <w:rPr>
          <w:rFonts w:hint="eastAsia" w:ascii="仿宋" w:hAnsi="仿宋" w:eastAsia="仿宋" w:cs="仿宋"/>
          <w:b/>
          <w:bCs/>
          <w:color w:val="000000" w:themeColor="text1"/>
          <w:sz w:val="32"/>
          <w:szCs w:val="32"/>
          <w:highlight w:val="none"/>
          <w14:textFill>
            <w14:solidFill>
              <w14:schemeClr w14:val="tx1"/>
            </w14:solidFill>
          </w14:textFill>
        </w:rPr>
        <w:t>【应急事件处置机制】</w:t>
      </w:r>
      <w:bookmarkEnd w:id="115"/>
      <w:bookmarkEnd w:id="116"/>
      <w:r>
        <w:rPr>
          <w:rFonts w:hint="eastAsia" w:ascii="仿宋" w:hAnsi="仿宋" w:eastAsia="仿宋" w:cs="仿宋"/>
          <w:color w:val="000000" w:themeColor="text1"/>
          <w:sz w:val="32"/>
          <w:szCs w:val="32"/>
          <w:highlight w:val="none"/>
          <w14:textFill>
            <w14:solidFill>
              <w14:schemeClr w14:val="tx1"/>
            </w14:solidFill>
          </w14:textFill>
        </w:rPr>
        <w:t>市、区人民政府及有关部门应当采取以下措施，有效应对突发事件，维护生产秩序和产业供应链稳定，保障市场主体的财产安全和经营自主权：</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㈠建立健全应急供应链智慧分级响应和联防联控机制</w:t>
      </w:r>
      <w:r>
        <w:rPr>
          <w:rFonts w:hint="eastAsia" w:ascii="仿宋" w:hAnsi="仿宋" w:eastAsia="仿宋" w:cs="仿宋"/>
          <w:color w:val="000000" w:themeColor="text1"/>
          <w:sz w:val="32"/>
          <w:szCs w:val="32"/>
          <w:highlight w:val="none"/>
          <w:lang w:eastAsia="zh-CN"/>
          <w14:textFill>
            <w14:solidFill>
              <w14:schemeClr w14:val="tx1"/>
            </w14:solidFill>
          </w14:textFill>
        </w:rPr>
        <w:t>，加强</w:t>
      </w:r>
      <w:r>
        <w:rPr>
          <w:rFonts w:hint="eastAsia" w:ascii="仿宋" w:hAnsi="仿宋" w:eastAsia="仿宋" w:cs="仿宋"/>
          <w:color w:val="000000" w:themeColor="text1"/>
          <w:sz w:val="32"/>
          <w:szCs w:val="32"/>
          <w:highlight w:val="none"/>
          <w14:textFill>
            <w14:solidFill>
              <w14:schemeClr w14:val="tx1"/>
            </w14:solidFill>
          </w14:textFill>
        </w:rPr>
        <w:t>供应链协同调度，为市场主体提供人力资源、设施设备、知识产权保护和政策信息等服务；</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㈡建立突发事件动态分析评估和反馈机制，对易遭遇风险的行业制定应急处</w:t>
      </w:r>
      <w:r>
        <w:rPr>
          <w:rFonts w:hint="eastAsia" w:ascii="仿宋" w:hAnsi="仿宋" w:eastAsia="仿宋" w:cs="仿宋"/>
          <w:color w:val="000000" w:themeColor="text1"/>
          <w:sz w:val="32"/>
          <w:szCs w:val="32"/>
          <w:highlight w:val="none"/>
          <w:lang w:eastAsia="zh-CN"/>
          <w14:textFill>
            <w14:solidFill>
              <w14:schemeClr w14:val="tx1"/>
            </w14:solidFill>
          </w14:textFill>
        </w:rPr>
        <w:t>置</w:t>
      </w:r>
      <w:r>
        <w:rPr>
          <w:rFonts w:hint="eastAsia" w:ascii="仿宋" w:hAnsi="仿宋" w:eastAsia="仿宋" w:cs="仿宋"/>
          <w:color w:val="000000" w:themeColor="text1"/>
          <w:sz w:val="32"/>
          <w:szCs w:val="32"/>
          <w:highlight w:val="none"/>
          <w14:textFill>
            <w14:solidFill>
              <w14:schemeClr w14:val="tx1"/>
            </w14:solidFill>
          </w14:textFill>
        </w:rPr>
        <w:t>方案；</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㈢鼓励市场主体采取调整薪酬、弹性工时、轮岗轮休等方式，稳定劳动关系，维持</w:t>
      </w:r>
      <w:r>
        <w:rPr>
          <w:rFonts w:hint="eastAsia" w:ascii="仿宋" w:hAnsi="仿宋" w:eastAsia="仿宋" w:cs="仿宋"/>
          <w:color w:val="000000" w:themeColor="text1"/>
          <w:sz w:val="32"/>
          <w:szCs w:val="32"/>
          <w:highlight w:val="none"/>
          <w:lang w:eastAsia="zh-CN"/>
          <w14:textFill>
            <w14:solidFill>
              <w14:schemeClr w14:val="tx1"/>
            </w14:solidFill>
          </w14:textFill>
        </w:rPr>
        <w:t>企业</w:t>
      </w:r>
      <w:r>
        <w:rPr>
          <w:rFonts w:hint="eastAsia" w:ascii="仿宋" w:hAnsi="仿宋" w:eastAsia="仿宋" w:cs="仿宋"/>
          <w:color w:val="000000" w:themeColor="text1"/>
          <w:sz w:val="32"/>
          <w:szCs w:val="32"/>
          <w:highlight w:val="none"/>
          <w14:textFill>
            <w14:solidFill>
              <w14:schemeClr w14:val="tx1"/>
            </w14:solidFill>
          </w14:textFill>
        </w:rPr>
        <w:t>运行；</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㈣组织评估突发事件对本地区经济和重点行业的影响，根据评估结果精准制定实施救助、补偿、补贴、减免、返还、安置等措施；</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㈤鼓励金融机构给予</w:t>
      </w:r>
      <w:r>
        <w:rPr>
          <w:rFonts w:hint="eastAsia" w:ascii="仿宋" w:hAnsi="仿宋" w:eastAsia="仿宋" w:cs="仿宋"/>
          <w:color w:val="000000" w:themeColor="text1"/>
          <w:sz w:val="32"/>
          <w:szCs w:val="32"/>
          <w:highlight w:val="none"/>
          <w:lang w:eastAsia="zh-CN"/>
          <w14:textFill>
            <w14:solidFill>
              <w14:schemeClr w14:val="tx1"/>
            </w14:solidFill>
          </w14:textFill>
        </w:rPr>
        <w:t>市场主体</w:t>
      </w:r>
      <w:r>
        <w:rPr>
          <w:rFonts w:hint="eastAsia" w:ascii="仿宋" w:hAnsi="仿宋" w:eastAsia="仿宋" w:cs="仿宋"/>
          <w:color w:val="000000" w:themeColor="text1"/>
          <w:sz w:val="32"/>
          <w:szCs w:val="32"/>
          <w:highlight w:val="none"/>
          <w14:textFill>
            <w14:solidFill>
              <w14:schemeClr w14:val="tx1"/>
            </w14:solidFill>
          </w14:textFill>
        </w:rPr>
        <w:t>延期还贷、展期续贷、降低利率和减免利息支持；</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㈥其他符合法律规定的措施。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四</w:t>
      </w:r>
      <w:r>
        <w:rPr>
          <w:rFonts w:hint="eastAsia" w:ascii="黑体" w:hAnsi="黑体" w:eastAsia="黑体" w:cs="黑体"/>
          <w:b w:val="0"/>
          <w:bCs w:val="0"/>
          <w:sz w:val="32"/>
          <w:szCs w:val="32"/>
          <w:highlight w:val="none"/>
        </w:rPr>
        <w:t>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数字化环境</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17" w:name="_Toc70090191"/>
      <w:bookmarkStart w:id="118" w:name="_Toc67919258"/>
      <w:r>
        <w:rPr>
          <w:rFonts w:hint="eastAsia" w:ascii="仿宋" w:hAnsi="仿宋" w:eastAsia="仿宋" w:cs="仿宋"/>
          <w:b/>
          <w:bCs/>
          <w:color w:val="000000" w:themeColor="text1"/>
          <w:sz w:val="32"/>
          <w:szCs w:val="32"/>
          <w:highlight w:val="none"/>
          <w:lang w:eastAsia="zh-CN"/>
          <w14:textFill>
            <w14:solidFill>
              <w14:schemeClr w14:val="tx1"/>
            </w14:solidFill>
          </w14:textFill>
        </w:rPr>
        <w:t>第四十八条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数字政务</w:t>
      </w:r>
      <w:r>
        <w:rPr>
          <w:rFonts w:hint="eastAsia" w:ascii="仿宋" w:hAnsi="仿宋" w:eastAsia="仿宋" w:cs="仿宋"/>
          <w:b/>
          <w:bCs/>
          <w:color w:val="000000" w:themeColor="text1"/>
          <w:sz w:val="32"/>
          <w:szCs w:val="32"/>
          <w:highlight w:val="none"/>
          <w14:textFill>
            <w14:solidFill>
              <w14:schemeClr w14:val="tx1"/>
            </w14:solidFill>
          </w14:textFill>
        </w:rPr>
        <w:t>】</w:t>
      </w:r>
      <w:bookmarkEnd w:id="117"/>
      <w:bookmarkEnd w:id="118"/>
      <w:r>
        <w:rPr>
          <w:rFonts w:hint="eastAsia" w:ascii="仿宋" w:hAnsi="仿宋" w:eastAsia="仿宋" w:cs="仿宋"/>
          <w:b w:val="0"/>
          <w:bCs w:val="0"/>
          <w:color w:val="000000" w:themeColor="text1"/>
          <w:sz w:val="32"/>
          <w:szCs w:val="32"/>
          <w:highlight w:val="none"/>
          <w14:textFill>
            <w14:solidFill>
              <w14:schemeClr w14:val="tx1"/>
            </w14:solidFill>
          </w14:textFill>
        </w:rPr>
        <w:t>市</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、区</w:t>
      </w:r>
      <w:r>
        <w:rPr>
          <w:rFonts w:hint="eastAsia" w:ascii="仿宋" w:hAnsi="仿宋" w:eastAsia="仿宋" w:cs="仿宋"/>
          <w:b w:val="0"/>
          <w:bCs w:val="0"/>
          <w:color w:val="000000" w:themeColor="text1"/>
          <w:sz w:val="32"/>
          <w:szCs w:val="32"/>
          <w:highlight w:val="none"/>
          <w14:textFill>
            <w14:solidFill>
              <w14:schemeClr w14:val="tx1"/>
            </w14:solidFill>
          </w14:textFill>
        </w:rPr>
        <w:t>人民政府应当应用</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数字化</w:t>
      </w:r>
      <w:r>
        <w:rPr>
          <w:rFonts w:hint="eastAsia" w:ascii="仿宋" w:hAnsi="仿宋" w:eastAsia="仿宋" w:cs="仿宋"/>
          <w:b w:val="0"/>
          <w:bCs w:val="0"/>
          <w:color w:val="000000" w:themeColor="text1"/>
          <w:sz w:val="32"/>
          <w:szCs w:val="32"/>
          <w:highlight w:val="none"/>
          <w14:textFill>
            <w14:solidFill>
              <w14:schemeClr w14:val="tx1"/>
            </w14:solidFill>
          </w14:textFill>
        </w:rPr>
        <w:t>赋能城市治理，统筹建设</w:t>
      </w:r>
      <w:r>
        <w:rPr>
          <w:rFonts w:hint="eastAsia" w:ascii="仿宋" w:hAnsi="仿宋" w:eastAsia="仿宋" w:cs="仿宋"/>
          <w:color w:val="000000" w:themeColor="text1"/>
          <w:sz w:val="32"/>
          <w:szCs w:val="32"/>
          <w:highlight w:val="none"/>
          <w:lang w:eastAsia="zh-CN"/>
          <w14:textFill>
            <w14:solidFill>
              <w14:schemeClr w14:val="tx1"/>
            </w14:solidFill>
          </w14:textFill>
        </w:rPr>
        <w:t>大数据管理平台</w:t>
      </w:r>
      <w:r>
        <w:rPr>
          <w:rFonts w:hint="eastAsia" w:ascii="仿宋" w:hAnsi="仿宋" w:eastAsia="仿宋" w:cs="仿宋"/>
          <w:b w:val="0"/>
          <w:bCs w:val="0"/>
          <w:color w:val="000000" w:themeColor="text1"/>
          <w:sz w:val="32"/>
          <w:szCs w:val="32"/>
          <w:highlight w:val="none"/>
          <w14:textFill>
            <w14:solidFill>
              <w14:schemeClr w14:val="tx1"/>
            </w14:solidFill>
          </w14:textFill>
        </w:rPr>
        <w:t>，提升智能感知、数据处理、分析研判、协同指挥和科学治理水平，推动城市管理和服务数字化、智能化、智慧化</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提升社会治理能力和服务民生水平。</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第四十九条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政务</w:t>
      </w:r>
      <w:r>
        <w:rPr>
          <w:rFonts w:hint="eastAsia" w:ascii="仿宋" w:hAnsi="仿宋" w:eastAsia="仿宋" w:cs="仿宋"/>
          <w:b/>
          <w:bCs/>
          <w:color w:val="000000" w:themeColor="text1"/>
          <w:sz w:val="32"/>
          <w:szCs w:val="32"/>
          <w:highlight w:val="none"/>
          <w14:textFill>
            <w14:solidFill>
              <w14:schemeClr w14:val="tx1"/>
            </w14:solidFill>
          </w14:textFill>
        </w:rPr>
        <w:t>数据</w:t>
      </w:r>
      <w:r>
        <w:rPr>
          <w:rFonts w:hint="eastAsia" w:ascii="仿宋" w:hAnsi="仿宋" w:eastAsia="仿宋" w:cs="仿宋"/>
          <w:b/>
          <w:bCs/>
          <w:color w:val="000000" w:themeColor="text1"/>
          <w:sz w:val="32"/>
          <w:szCs w:val="32"/>
          <w:highlight w:val="none"/>
          <w:lang w:eastAsia="zh-CN"/>
          <w14:textFill>
            <w14:solidFill>
              <w14:schemeClr w14:val="tx1"/>
            </w14:solidFill>
          </w14:textFill>
        </w:rPr>
        <w:t>归集、</w:t>
      </w:r>
      <w:r>
        <w:rPr>
          <w:rFonts w:hint="eastAsia" w:ascii="仿宋" w:hAnsi="仿宋" w:eastAsia="仿宋" w:cs="仿宋"/>
          <w:b/>
          <w:bCs/>
          <w:color w:val="000000" w:themeColor="text1"/>
          <w:sz w:val="32"/>
          <w:szCs w:val="32"/>
          <w:highlight w:val="none"/>
          <w14:textFill>
            <w14:solidFill>
              <w14:schemeClr w14:val="tx1"/>
            </w14:solidFill>
          </w14:textFill>
        </w:rPr>
        <w:t>共享和开放】</w:t>
      </w:r>
      <w:r>
        <w:rPr>
          <w:rFonts w:hint="eastAsia" w:ascii="仿宋" w:hAnsi="仿宋" w:eastAsia="仿宋" w:cs="仿宋"/>
          <w:color w:val="000000" w:themeColor="text1"/>
          <w:sz w:val="32"/>
          <w:szCs w:val="32"/>
          <w:highlight w:val="none"/>
          <w:lang w:eastAsia="zh-CN"/>
          <w14:textFill>
            <w14:solidFill>
              <w14:schemeClr w14:val="tx1"/>
            </w14:solidFill>
          </w14:textFill>
        </w:rPr>
        <w:t>市人民政府统筹建立</w:t>
      </w:r>
      <w:r>
        <w:rPr>
          <w:rFonts w:hint="eastAsia" w:ascii="仿宋" w:hAnsi="仿宋" w:eastAsia="仿宋" w:cs="仿宋"/>
          <w:color w:val="000000" w:themeColor="text1"/>
          <w:sz w:val="32"/>
          <w:szCs w:val="32"/>
          <w:highlight w:val="none"/>
          <w14:textFill>
            <w14:solidFill>
              <w14:schemeClr w14:val="tx1"/>
            </w14:solidFill>
          </w14:textFill>
        </w:rPr>
        <w:t>统一法人自然人地址数据库、空间地理数据库、不动产数据库、信用数据库</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医保数据库、公积金数据库</w:t>
      </w:r>
      <w:r>
        <w:rPr>
          <w:rFonts w:hint="eastAsia" w:ascii="仿宋" w:hAnsi="仿宋" w:eastAsia="仿宋" w:cs="仿宋"/>
          <w:color w:val="000000" w:themeColor="text1"/>
          <w:sz w:val="32"/>
          <w:szCs w:val="32"/>
          <w:highlight w:val="none"/>
          <w:lang w:eastAsia="zh-CN"/>
          <w14:textFill>
            <w14:solidFill>
              <w14:schemeClr w14:val="tx1"/>
            </w14:solidFill>
          </w14:textFill>
        </w:rPr>
        <w:t>、电子证照库、监管数据库等，逐步推进各政务工作平台实现互联互通、数据共享和业务协同，法律、法规和国家另有规定的除外。</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市大数据主管部门应当统筹协调、督促指导大数据管理工作，推动政务数据等公共数据归集，推进数据资源汇聚融合、共享开放、有效流动和开发应用。</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有关部门应当</w:t>
      </w:r>
      <w:r>
        <w:rPr>
          <w:rFonts w:hint="eastAsia" w:ascii="仿宋" w:hAnsi="仿宋" w:eastAsia="仿宋" w:cs="仿宋"/>
          <w:color w:val="000000" w:themeColor="text1"/>
          <w:sz w:val="32"/>
          <w:szCs w:val="32"/>
          <w:highlight w:val="none"/>
          <w:lang w:eastAsia="zh-CN"/>
          <w14:textFill>
            <w14:solidFill>
              <w14:schemeClr w14:val="tx1"/>
            </w14:solidFill>
          </w14:textFill>
        </w:rPr>
        <w:t>编制本部门政务数据目录，依</w:t>
      </w:r>
      <w:r>
        <w:rPr>
          <w:rFonts w:hint="eastAsia" w:ascii="仿宋" w:hAnsi="仿宋" w:eastAsia="仿宋" w:cs="仿宋"/>
          <w:color w:val="000000" w:themeColor="text1"/>
          <w:sz w:val="32"/>
          <w:szCs w:val="32"/>
          <w:highlight w:val="none"/>
          <w14:textFill>
            <w14:solidFill>
              <w14:schemeClr w14:val="tx1"/>
            </w14:solidFill>
          </w14:textFill>
        </w:rPr>
        <w:t>法采集、更新政务数据，</w:t>
      </w:r>
      <w:r>
        <w:rPr>
          <w:rFonts w:hint="eastAsia" w:ascii="仿宋" w:hAnsi="仿宋" w:eastAsia="仿宋" w:cs="仿宋"/>
          <w:color w:val="000000" w:themeColor="text1"/>
          <w:sz w:val="32"/>
          <w:szCs w:val="32"/>
          <w:highlight w:val="none"/>
          <w:lang w:eastAsia="zh-CN"/>
          <w14:textFill>
            <w14:solidFill>
              <w14:schemeClr w14:val="tx1"/>
            </w14:solidFill>
          </w14:textFill>
        </w:rPr>
        <w:t>按照统一的标准，准确、及时、完整向大数据管理平台汇集各类数据信息。</w:t>
      </w:r>
      <w:r>
        <w:rPr>
          <w:rFonts w:hint="eastAsia" w:ascii="仿宋" w:hAnsi="仿宋" w:eastAsia="仿宋" w:cs="仿宋"/>
          <w:color w:val="000000" w:themeColor="text1"/>
          <w:sz w:val="32"/>
          <w:szCs w:val="32"/>
          <w:highlight w:val="none"/>
          <w14:textFill>
            <w14:solidFill>
              <w14:schemeClr w14:val="tx1"/>
            </w14:solidFill>
          </w14:textFill>
        </w:rPr>
        <w:t>政务数据管理的具体办法，由市人民政府制定。</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第五十条</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【政务数据的应用】</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市大数据主管部门及有关部门应当推动可供社会化利用的政务数据资源向社会开放，推动政务数据资源挖掘、增值利用和大数据产业发展。</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在依法利用和保障安全的条件下，市大数据主管部门及有关部门可以通过政府采购、服务外包、合作等方式，开展政务数据资源市场化开发应用。</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第五十一条【市场主体自有数据开放】</w:t>
      </w:r>
      <w:r>
        <w:rPr>
          <w:rFonts w:hint="eastAsia" w:ascii="仿宋" w:hAnsi="仿宋" w:eastAsia="仿宋" w:cs="仿宋"/>
          <w:color w:val="000000" w:themeColor="text1"/>
          <w:sz w:val="32"/>
          <w:szCs w:val="32"/>
          <w:highlight w:val="none"/>
          <w:lang w:val="en-US" w:eastAsia="zh-CN"/>
          <w14:textFill>
            <w14:solidFill>
              <w14:schemeClr w14:val="tx1"/>
            </w14:solidFill>
          </w14:textFill>
        </w:rPr>
        <w:t>市、区人民政府及有关部门应当通过产业政策引导、社会资本引入、应用模式创新、强化交流合作等方式，引导企业、社会组织和个人开放自有数据资源。</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第五十二条【数据安全】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市、区人民政府及有关部门应当建立健全网络安全、数据安全保障体系，完善协调机制以及安全预警、安全处置机制。</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市、区人民政府及有关部门应当加强共享数据使用全过程管理，保障共享数据安全，保护国家秘密、商业秘密以及个人隐私。</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五十三条【数字经济】</w:t>
      </w:r>
      <w:r>
        <w:rPr>
          <w:rFonts w:hint="eastAsia" w:ascii="仿宋" w:hAnsi="仿宋" w:eastAsia="仿宋" w:cs="仿宋"/>
          <w:color w:val="000000" w:themeColor="text1"/>
          <w:sz w:val="32"/>
          <w:szCs w:val="32"/>
          <w:highlight w:val="none"/>
          <w:lang w:val="en-US" w:eastAsia="zh-CN"/>
          <w14:textFill>
            <w14:solidFill>
              <w14:schemeClr w14:val="tx1"/>
            </w14:solidFill>
          </w14:textFill>
        </w:rPr>
        <w:t>市、区人民政府应当加强对数字经济发展工作的领导，鼓励和支持以数据资源为关键生产要素的技术研发和推广应用，培育和发展数字经济新产业、新业态和新模式，加快建设与数字经济发展相适应的技术创新体系、产业生态体系和公共服务体系，营造有利于数字经济发展的环境。</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第五十四条【数字产业】</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市、区人民政府及有关部门应当围绕数据存储、清洗、分析、发掘、可视化、安全、保护等技术领域，发展和引进大数据产品、技术和服务，支持大数据关键技术、解决方案、重点产品、配套服务、商业模式创新和应用研究。</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鼓励企业、社会组织和个人提供各类数据服务、数据产品。</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第五十五条【数字技术与产业融合】</w:t>
      </w:r>
      <w:r>
        <w:rPr>
          <w:rFonts w:hint="eastAsia" w:ascii="仿宋" w:hAnsi="仿宋" w:eastAsia="仿宋" w:cs="仿宋"/>
          <w:color w:val="000000" w:themeColor="text1"/>
          <w:sz w:val="32"/>
          <w:szCs w:val="32"/>
          <w:highlight w:val="none"/>
          <w:lang w:val="en-US" w:eastAsia="zh-CN"/>
          <w14:textFill>
            <w14:solidFill>
              <w14:schemeClr w14:val="tx1"/>
            </w14:solidFill>
          </w14:textFill>
        </w:rPr>
        <w:t>市、区人民政府应当通过规划引导、政策支持、市场主体培育等方式，重点推动信息技术、数字创意、集成电路、高端软件、智能计算等产业发展，促进云计算、大数据、物联网、人工智能等技术与各产业深度融合，以数字赋能生产组织方式和商业模式创新。</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第五十六条【产业数字化升级】</w:t>
      </w:r>
      <w:r>
        <w:rPr>
          <w:rFonts w:hint="eastAsia" w:ascii="仿宋" w:hAnsi="仿宋" w:eastAsia="仿宋" w:cs="仿宋"/>
          <w:color w:val="000000" w:themeColor="text1"/>
          <w:sz w:val="32"/>
          <w:szCs w:val="32"/>
          <w:highlight w:val="none"/>
          <w:lang w:eastAsia="zh-CN"/>
          <w14:textFill>
            <w14:solidFill>
              <w14:schemeClr w14:val="tx1"/>
            </w14:solidFill>
          </w14:textFill>
        </w:rPr>
        <w:t>市、区人民政府及有关部门应当推动农业大数据关键技术研发和示范应用，推进智慧农业建设，利用大数据完善农产品的价格形成机制，保障农产品质量安全，强化农村生态环境治理，促进乡村振兴。</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市、区人民政府及有关部门应当以数字化创新为驱动，促进工业经济各种要素资源的高效利用，通过服务指导、试点示范、政策支持等方式提升企业在设计、生产、管理、服务等环节的智能化水平。</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市、区人民政府及有关部门应当推广数字技术在旅游、健康、养老、教育培训等服务业的应用，丰富服务产品供给，促进消费方式升级。</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b w:val="0"/>
          <w:bCs w:val="0"/>
          <w:sz w:val="32"/>
          <w:szCs w:val="32"/>
          <w:highlight w:val="none"/>
        </w:rPr>
      </w:pPr>
      <w:bookmarkStart w:id="119" w:name="_Toc67919240"/>
      <w:bookmarkStart w:id="120" w:name="_Toc70090175"/>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五</w:t>
      </w:r>
      <w:r>
        <w:rPr>
          <w:rFonts w:hint="eastAsia" w:ascii="黑体" w:hAnsi="黑体" w:eastAsia="黑体" w:cs="黑体"/>
          <w:b w:val="0"/>
          <w:bCs w:val="0"/>
          <w:sz w:val="32"/>
          <w:szCs w:val="32"/>
          <w:highlight w:val="none"/>
        </w:rPr>
        <w:t>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国际化环境</w:t>
      </w:r>
      <w:bookmarkEnd w:id="119"/>
      <w:bookmarkEnd w:id="120"/>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21" w:name="_Toc69122924"/>
      <w:bookmarkEnd w:id="121"/>
      <w:bookmarkStart w:id="122" w:name="_Toc69375862"/>
      <w:bookmarkEnd w:id="122"/>
      <w:bookmarkStart w:id="123" w:name="_Toc69120781"/>
      <w:bookmarkEnd w:id="123"/>
      <w:bookmarkStart w:id="124" w:name="_Toc69120637"/>
      <w:bookmarkEnd w:id="124"/>
      <w:bookmarkStart w:id="125" w:name="_Toc67919243"/>
      <w:bookmarkStart w:id="126" w:name="_Toc70090178"/>
      <w:r>
        <w:rPr>
          <w:rFonts w:hint="eastAsia" w:ascii="仿宋" w:hAnsi="仿宋" w:eastAsia="仿宋" w:cs="仿宋"/>
          <w:b/>
          <w:bCs/>
          <w:color w:val="000000" w:themeColor="text1"/>
          <w:sz w:val="32"/>
          <w:szCs w:val="32"/>
          <w:highlight w:val="none"/>
          <w:lang w:eastAsia="zh-CN"/>
          <w14:textFill>
            <w14:solidFill>
              <w14:schemeClr w14:val="tx1"/>
            </w14:solidFill>
          </w14:textFill>
        </w:rPr>
        <w:t>第五十七条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便利通关</w:t>
      </w:r>
      <w:r>
        <w:rPr>
          <w:rFonts w:hint="eastAsia" w:ascii="仿宋" w:hAnsi="仿宋" w:eastAsia="仿宋" w:cs="仿宋"/>
          <w:b/>
          <w:bCs/>
          <w:color w:val="000000" w:themeColor="text1"/>
          <w:sz w:val="32"/>
          <w:szCs w:val="32"/>
          <w:highlight w:val="none"/>
          <w14:textFill>
            <w14:solidFill>
              <w14:schemeClr w14:val="tx1"/>
            </w14:solidFill>
          </w14:textFill>
        </w:rPr>
        <w:t>】</w:t>
      </w:r>
      <w:bookmarkEnd w:id="125"/>
      <w:bookmarkEnd w:id="126"/>
      <w:bookmarkStart w:id="127" w:name="_Toc63867614"/>
      <w:r>
        <w:rPr>
          <w:rFonts w:hint="eastAsia" w:ascii="仿宋" w:hAnsi="仿宋" w:eastAsia="仿宋" w:cs="仿宋"/>
          <w:color w:val="000000" w:themeColor="text1"/>
          <w:sz w:val="32"/>
          <w:szCs w:val="32"/>
          <w:highlight w:val="none"/>
          <w14:textFill>
            <w14:solidFill>
              <w14:schemeClr w14:val="tx1"/>
            </w14:solidFill>
          </w14:textFill>
        </w:rPr>
        <w:t>市人民政府及有关部门应当建立跨部门、跨区域</w:t>
      </w:r>
      <w:r>
        <w:rPr>
          <w:rFonts w:hint="eastAsia" w:ascii="仿宋" w:hAnsi="仿宋" w:eastAsia="仿宋" w:cs="仿宋"/>
          <w:color w:val="000000" w:themeColor="text1"/>
          <w:sz w:val="32"/>
          <w:szCs w:val="32"/>
          <w:highlight w:val="none"/>
          <w:lang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口岸管理协调机制</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推</w:t>
      </w:r>
      <w:r>
        <w:rPr>
          <w:rFonts w:hint="eastAsia" w:ascii="仿宋" w:hAnsi="仿宋" w:eastAsia="仿宋" w:cs="仿宋"/>
          <w:color w:val="000000" w:themeColor="text1"/>
          <w:sz w:val="32"/>
          <w:szCs w:val="32"/>
          <w:highlight w:val="none"/>
          <w:lang w:eastAsia="zh-CN"/>
          <w14:textFill>
            <w14:solidFill>
              <w14:schemeClr w14:val="tx1"/>
            </w14:solidFill>
          </w14:textFill>
        </w:rPr>
        <w:t>行</w:t>
      </w:r>
      <w:r>
        <w:rPr>
          <w:rFonts w:hint="eastAsia" w:ascii="仿宋" w:hAnsi="仿宋" w:eastAsia="仿宋" w:cs="仿宋"/>
          <w:color w:val="000000" w:themeColor="text1"/>
          <w:sz w:val="32"/>
          <w:szCs w:val="32"/>
          <w:highlight w:val="none"/>
          <w14:textFill>
            <w14:solidFill>
              <w14:schemeClr w14:val="tx1"/>
            </w14:solidFill>
          </w14:textFill>
        </w:rPr>
        <w:t>各类口岸通关便利化措施，创新监管方式，优化通关流程，提高通关效率，降低通关成本。</w:t>
      </w:r>
      <w:bookmarkEnd w:id="127"/>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28" w:name="_Toc67919244"/>
      <w:bookmarkStart w:id="129" w:name="_Toc70090179"/>
      <w:r>
        <w:rPr>
          <w:rFonts w:hint="eastAsia" w:ascii="仿宋" w:hAnsi="仿宋" w:eastAsia="仿宋" w:cs="仿宋"/>
          <w:b/>
          <w:bCs/>
          <w:color w:val="000000" w:themeColor="text1"/>
          <w:sz w:val="32"/>
          <w:szCs w:val="32"/>
          <w:highlight w:val="none"/>
          <w:lang w:eastAsia="zh-CN"/>
          <w14:textFill>
            <w14:solidFill>
              <w14:schemeClr w14:val="tx1"/>
            </w14:solidFill>
          </w14:textFill>
        </w:rPr>
        <w:t>第五十八条</w:t>
      </w:r>
      <w:r>
        <w:rPr>
          <w:rFonts w:hint="eastAsia" w:ascii="仿宋" w:hAnsi="仿宋" w:eastAsia="仿宋" w:cs="仿宋"/>
          <w:b/>
          <w:bCs/>
          <w:color w:val="000000" w:themeColor="text1"/>
          <w:sz w:val="32"/>
          <w:szCs w:val="32"/>
          <w:highlight w:val="none"/>
          <w14:textFill>
            <w14:solidFill>
              <w14:schemeClr w14:val="tx1"/>
            </w14:solidFill>
          </w14:textFill>
        </w:rPr>
        <w:t>【单一窗口】</w:t>
      </w:r>
      <w:bookmarkEnd w:id="128"/>
      <w:bookmarkEnd w:id="129"/>
      <w:r>
        <w:rPr>
          <w:rFonts w:hint="eastAsia" w:ascii="仿宋" w:hAnsi="仿宋" w:eastAsia="仿宋" w:cs="仿宋"/>
          <w:color w:val="000000" w:themeColor="text1"/>
          <w:sz w:val="32"/>
          <w:szCs w:val="32"/>
          <w:highlight w:val="none"/>
          <w:lang w:eastAsia="zh-CN"/>
          <w14:textFill>
            <w14:solidFill>
              <w14:schemeClr w14:val="tx1"/>
            </w14:solidFill>
          </w14:textFill>
        </w:rPr>
        <w:t>推动</w:t>
      </w:r>
      <w:r>
        <w:rPr>
          <w:rFonts w:hint="eastAsia" w:ascii="仿宋" w:hAnsi="仿宋" w:eastAsia="仿宋" w:cs="仿宋"/>
          <w:color w:val="000000" w:themeColor="text1"/>
          <w:sz w:val="32"/>
          <w:szCs w:val="32"/>
          <w:highlight w:val="none"/>
          <w14:textFill>
            <w14:solidFill>
              <w14:schemeClr w14:val="tx1"/>
            </w14:solidFill>
          </w14:textFill>
        </w:rPr>
        <w:t>口岸和</w:t>
      </w:r>
      <w:r>
        <w:rPr>
          <w:rStyle w:val="45"/>
          <w:rFonts w:hint="eastAsia" w:ascii="仿宋" w:hAnsi="仿宋" w:eastAsia="仿宋" w:cs="仿宋"/>
          <w:color w:val="000000" w:themeColor="text1"/>
          <w:sz w:val="32"/>
          <w:szCs w:val="32"/>
          <w:highlight w:val="none"/>
          <w14:textFill>
            <w14:solidFill>
              <w14:schemeClr w14:val="tx1"/>
            </w14:solidFill>
          </w14:textFill>
        </w:rPr>
        <w:t>国际贸易</w:t>
      </w:r>
      <w:r>
        <w:rPr>
          <w:rFonts w:hint="eastAsia" w:ascii="仿宋" w:hAnsi="仿宋" w:eastAsia="仿宋" w:cs="仿宋"/>
          <w:color w:val="000000" w:themeColor="text1"/>
          <w:sz w:val="32"/>
          <w:szCs w:val="32"/>
          <w:highlight w:val="none"/>
          <w14:textFill>
            <w14:solidFill>
              <w14:schemeClr w14:val="tx1"/>
            </w14:solidFill>
          </w14:textFill>
        </w:rPr>
        <w:t>领域相关业务通过</w:t>
      </w:r>
      <w:r>
        <w:rPr>
          <w:rStyle w:val="45"/>
          <w:rFonts w:hint="eastAsia" w:ascii="仿宋" w:hAnsi="仿宋" w:eastAsia="仿宋" w:cs="仿宋"/>
          <w:color w:val="000000" w:themeColor="text1"/>
          <w:sz w:val="32"/>
          <w:szCs w:val="32"/>
          <w:highlight w:val="none"/>
          <w14:textFill>
            <w14:solidFill>
              <w14:schemeClr w14:val="tx1"/>
            </w14:solidFill>
          </w14:textFill>
        </w:rPr>
        <w:t>国际贸易</w:t>
      </w:r>
      <w:r>
        <w:rPr>
          <w:rFonts w:hint="eastAsia" w:ascii="仿宋" w:hAnsi="仿宋" w:eastAsia="仿宋" w:cs="仿宋"/>
          <w:color w:val="000000" w:themeColor="text1"/>
          <w:sz w:val="32"/>
          <w:szCs w:val="32"/>
          <w:highlight w:val="none"/>
          <w14:textFill>
            <w14:solidFill>
              <w14:schemeClr w14:val="tx1"/>
            </w14:solidFill>
          </w14:textFill>
        </w:rPr>
        <w:t>“单一窗口”办理</w:t>
      </w:r>
      <w:r>
        <w:rPr>
          <w:rFonts w:hint="eastAsia" w:ascii="仿宋" w:hAnsi="仿宋" w:eastAsia="仿宋" w:cs="仿宋"/>
          <w:color w:val="000000" w:themeColor="text1"/>
          <w:sz w:val="32"/>
          <w:szCs w:val="32"/>
          <w:highlight w:val="none"/>
          <w:lang w:eastAsia="zh-CN"/>
          <w14:textFill>
            <w14:solidFill>
              <w14:schemeClr w14:val="tx1"/>
            </w14:solidFill>
          </w14:textFill>
        </w:rPr>
        <w:t>，“单一窗口”平台</w:t>
      </w:r>
      <w:r>
        <w:rPr>
          <w:rFonts w:hint="eastAsia" w:ascii="仿宋" w:hAnsi="仿宋" w:eastAsia="仿宋" w:cs="仿宋"/>
          <w:color w:val="000000" w:themeColor="text1"/>
          <w:sz w:val="32"/>
          <w:szCs w:val="32"/>
          <w:highlight w:val="none"/>
          <w14:textFill>
            <w14:solidFill>
              <w14:schemeClr w14:val="tx1"/>
            </w14:solidFill>
          </w14:textFill>
        </w:rPr>
        <w:t>提供货物申报、舱单申报、运输工具申报、跨境电商、加工贸易等服务，推广口岸物流、金融服务、出口退税等</w:t>
      </w:r>
      <w:r>
        <w:rPr>
          <w:rFonts w:hint="eastAsia" w:ascii="仿宋" w:hAnsi="仿宋" w:eastAsia="仿宋" w:cs="仿宋"/>
          <w:color w:val="000000" w:themeColor="text1"/>
          <w:sz w:val="32"/>
          <w:szCs w:val="32"/>
          <w:highlight w:val="none"/>
          <w:lang w:eastAsia="zh-CN"/>
          <w14:textFill>
            <w14:solidFill>
              <w14:schemeClr w14:val="tx1"/>
            </w14:solidFill>
          </w14:textFill>
        </w:rPr>
        <w:t>服务</w:t>
      </w:r>
      <w:r>
        <w:rPr>
          <w:rFonts w:hint="eastAsia" w:ascii="仿宋" w:hAnsi="仿宋" w:eastAsia="仿宋" w:cs="仿宋"/>
          <w:color w:val="000000" w:themeColor="text1"/>
          <w:sz w:val="32"/>
          <w:szCs w:val="32"/>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依托国际贸易“单一窗口”，推进进出口各环节不同主体之间的信息互联互通，</w:t>
      </w:r>
      <w:r>
        <w:rPr>
          <w:rFonts w:hint="eastAsia" w:ascii="仿宋" w:hAnsi="仿宋" w:eastAsia="仿宋" w:cs="仿宋"/>
          <w:color w:val="000000" w:themeColor="text1"/>
          <w:sz w:val="32"/>
          <w:szCs w:val="32"/>
          <w:highlight w:val="none"/>
          <w:lang w:eastAsia="zh-CN"/>
          <w14:textFill>
            <w14:solidFill>
              <w14:schemeClr w14:val="tx1"/>
            </w14:solidFill>
          </w14:textFill>
        </w:rPr>
        <w:t>逐步</w:t>
      </w:r>
      <w:r>
        <w:rPr>
          <w:rFonts w:hint="eastAsia" w:ascii="仿宋" w:hAnsi="仿宋" w:eastAsia="仿宋" w:cs="仿宋"/>
          <w:color w:val="000000" w:themeColor="text1"/>
          <w:sz w:val="32"/>
          <w:szCs w:val="32"/>
          <w:highlight w:val="none"/>
          <w14:textFill>
            <w14:solidFill>
              <w14:schemeClr w14:val="tx1"/>
            </w14:solidFill>
          </w14:textFill>
        </w:rPr>
        <w:t>实现口岸贸易</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通关</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物流</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金融</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税务一体化服务。</w:t>
      </w:r>
      <w:bookmarkStart w:id="130" w:name="_Toc63867615"/>
      <w:bookmarkStart w:id="131" w:name="_Toc70090180"/>
      <w:bookmarkStart w:id="132" w:name="_Toc67919245"/>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第五十九条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规范口岸收费</w:t>
      </w:r>
      <w:r>
        <w:rPr>
          <w:rFonts w:hint="eastAsia" w:ascii="仿宋" w:hAnsi="仿宋" w:eastAsia="仿宋" w:cs="仿宋"/>
          <w:b/>
          <w:bCs/>
          <w:color w:val="000000" w:themeColor="text1"/>
          <w:sz w:val="32"/>
          <w:szCs w:val="32"/>
          <w:highlight w:val="none"/>
          <w14:textFill>
            <w14:solidFill>
              <w14:schemeClr w14:val="tx1"/>
            </w14:solidFill>
          </w14:textFill>
        </w:rPr>
        <w:t>】</w:t>
      </w:r>
      <w:bookmarkEnd w:id="130"/>
      <w:bookmarkEnd w:id="131"/>
      <w:bookmarkEnd w:id="132"/>
      <w:r>
        <w:rPr>
          <w:rFonts w:hint="eastAsia" w:ascii="仿宋" w:hAnsi="仿宋" w:eastAsia="仿宋" w:cs="仿宋"/>
          <w:color w:val="000000" w:themeColor="text1"/>
          <w:sz w:val="32"/>
          <w:szCs w:val="32"/>
          <w:highlight w:val="none"/>
          <w14:textFill>
            <w14:solidFill>
              <w14:schemeClr w14:val="tx1"/>
            </w14:solidFill>
          </w14:textFill>
        </w:rPr>
        <w:t>口岸、自贸试验区、港口、市场</w:t>
      </w:r>
      <w:r>
        <w:rPr>
          <w:rFonts w:hint="eastAsia" w:ascii="仿宋" w:hAnsi="仿宋" w:eastAsia="仿宋" w:cs="仿宋"/>
          <w:color w:val="000000" w:themeColor="text1"/>
          <w:sz w:val="32"/>
          <w:szCs w:val="32"/>
          <w:highlight w:val="none"/>
          <w:lang w:eastAsia="zh-CN"/>
          <w14:textFill>
            <w14:solidFill>
              <w14:schemeClr w14:val="tx1"/>
            </w14:solidFill>
          </w14:textFill>
        </w:rPr>
        <w:t>监督管理</w:t>
      </w:r>
      <w:r>
        <w:rPr>
          <w:rFonts w:hint="eastAsia" w:ascii="仿宋" w:hAnsi="仿宋" w:eastAsia="仿宋" w:cs="仿宋"/>
          <w:color w:val="000000" w:themeColor="text1"/>
          <w:sz w:val="32"/>
          <w:szCs w:val="32"/>
          <w:highlight w:val="none"/>
          <w14:textFill>
            <w14:solidFill>
              <w14:schemeClr w14:val="tx1"/>
            </w14:solidFill>
          </w14:textFill>
        </w:rPr>
        <w:t>等</w:t>
      </w:r>
      <w:r>
        <w:rPr>
          <w:rFonts w:hint="eastAsia" w:ascii="仿宋" w:hAnsi="仿宋" w:eastAsia="仿宋" w:cs="仿宋"/>
          <w:color w:val="000000" w:themeColor="text1"/>
          <w:sz w:val="32"/>
          <w:szCs w:val="32"/>
          <w:highlight w:val="none"/>
          <w:lang w:eastAsia="zh-CN"/>
          <w14:textFill>
            <w14:solidFill>
              <w14:schemeClr w14:val="tx1"/>
            </w14:solidFill>
          </w14:textFill>
        </w:rPr>
        <w:t>有关</w:t>
      </w:r>
      <w:r>
        <w:rPr>
          <w:rFonts w:hint="eastAsia" w:ascii="仿宋" w:hAnsi="仿宋" w:eastAsia="仿宋" w:cs="仿宋"/>
          <w:color w:val="000000" w:themeColor="text1"/>
          <w:sz w:val="32"/>
          <w:szCs w:val="32"/>
          <w:highlight w:val="none"/>
          <w14:textFill>
            <w14:solidFill>
              <w14:schemeClr w14:val="tx1"/>
            </w14:solidFill>
          </w14:textFill>
        </w:rPr>
        <w:t>部门应当加强口岸收费目录清单管理，完善目录清单动态管理机制、口岸收费监管协作机制和清理口岸收费联动工作机制。</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收费目录应当包含服务项目、服务内容</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收费标准等内容并予以公开</w:t>
      </w:r>
      <w:r>
        <w:rPr>
          <w:rFonts w:hint="eastAsia" w:ascii="仿宋" w:hAnsi="仿宋" w:eastAsia="仿宋" w:cs="仿宋"/>
          <w:color w:val="000000" w:themeColor="text1"/>
          <w:sz w:val="32"/>
          <w:szCs w:val="32"/>
          <w:highlight w:val="none"/>
          <w:lang w:eastAsia="zh-CN"/>
          <w14:textFill>
            <w14:solidFill>
              <w14:schemeClr w14:val="tx1"/>
            </w14:solidFill>
          </w14:textFill>
        </w:rPr>
        <w:t>。有关部门</w:t>
      </w:r>
      <w:r>
        <w:rPr>
          <w:rFonts w:hint="eastAsia" w:ascii="仿宋" w:hAnsi="仿宋" w:eastAsia="仿宋" w:cs="仿宋"/>
          <w:color w:val="000000" w:themeColor="text1"/>
          <w:sz w:val="32"/>
          <w:szCs w:val="32"/>
          <w:highlight w:val="none"/>
          <w14:textFill>
            <w14:solidFill>
              <w14:schemeClr w14:val="tx1"/>
            </w14:solidFill>
          </w14:textFill>
        </w:rPr>
        <w:t>不得在目录以外收取费用。</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kern w:val="0"/>
          <w:sz w:val="32"/>
          <w:szCs w:val="32"/>
          <w:highlight w:val="none"/>
          <w14:textFill>
            <w14:solidFill>
              <w14:schemeClr w14:val="tx1"/>
            </w14:solidFill>
          </w14:textFill>
        </w:rPr>
      </w:pPr>
      <w:bookmarkStart w:id="133" w:name="_Toc67499007"/>
      <w:bookmarkEnd w:id="133"/>
      <w:bookmarkStart w:id="134" w:name="_Toc67919246"/>
      <w:bookmarkStart w:id="135" w:name="_Toc70090181"/>
      <w:r>
        <w:rPr>
          <w:rFonts w:hint="eastAsia" w:ascii="仿宋" w:hAnsi="仿宋" w:eastAsia="仿宋" w:cs="仿宋"/>
          <w:b/>
          <w:bCs/>
          <w:color w:val="000000" w:themeColor="text1"/>
          <w:sz w:val="32"/>
          <w:szCs w:val="32"/>
          <w:highlight w:val="none"/>
          <w:lang w:eastAsia="zh-CN"/>
          <w14:textFill>
            <w14:solidFill>
              <w14:schemeClr w14:val="tx1"/>
            </w14:solidFill>
          </w14:textFill>
        </w:rPr>
        <w:t>第六十条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设立鼓励</w:t>
      </w:r>
      <w:r>
        <w:rPr>
          <w:rFonts w:hint="eastAsia" w:ascii="仿宋" w:hAnsi="仿宋" w:eastAsia="仿宋" w:cs="仿宋"/>
          <w:b/>
          <w:bCs/>
          <w:color w:val="000000" w:themeColor="text1"/>
          <w:sz w:val="32"/>
          <w:szCs w:val="32"/>
          <w:highlight w:val="none"/>
          <w14:textFill>
            <w14:solidFill>
              <w14:schemeClr w14:val="tx1"/>
            </w14:solidFill>
          </w14:textFill>
        </w:rPr>
        <w:t>】</w:t>
      </w:r>
      <w:bookmarkEnd w:id="134"/>
      <w:bookmarkEnd w:id="135"/>
      <w:bookmarkStart w:id="136" w:name="tiao_11_kuan_2"/>
      <w:bookmarkEnd w:id="136"/>
      <w:bookmarkStart w:id="137" w:name="tiao_11_kuan_1"/>
      <w:bookmarkEnd w:id="137"/>
      <w:r>
        <w:rPr>
          <w:rFonts w:hint="eastAsia" w:ascii="仿宋" w:hAnsi="仿宋" w:eastAsia="仿宋" w:cs="仿宋"/>
          <w:color w:val="000000" w:themeColor="text1"/>
          <w:kern w:val="0"/>
          <w:sz w:val="32"/>
          <w:szCs w:val="32"/>
          <w:highlight w:val="none"/>
          <w14:textFill>
            <w14:solidFill>
              <w14:schemeClr w14:val="tx1"/>
            </w14:solidFill>
          </w14:textFill>
        </w:rPr>
        <w:t>鼓励各类企业在本市设立总部机构、研发中心，鼓励与厦门</w:t>
      </w:r>
      <w:r>
        <w:rPr>
          <w:rFonts w:hint="eastAsia" w:ascii="仿宋" w:hAnsi="仿宋" w:eastAsia="仿宋" w:cs="仿宋"/>
          <w:color w:val="000000" w:themeColor="text1"/>
          <w:sz w:val="32"/>
          <w:szCs w:val="32"/>
          <w:highlight w:val="none"/>
          <w14:textFill>
            <w14:solidFill>
              <w14:schemeClr w14:val="tx1"/>
            </w14:solidFill>
          </w14:textFill>
        </w:rPr>
        <w:t>国际航运中心、国际贸易中心、国际旅游会展中心、区域创新中心、区域金融中心</w:t>
      </w:r>
      <w:r>
        <w:rPr>
          <w:rFonts w:hint="eastAsia" w:ascii="仿宋" w:hAnsi="仿宋" w:eastAsia="仿宋" w:cs="仿宋"/>
          <w:color w:val="000000" w:themeColor="text1"/>
          <w:kern w:val="0"/>
          <w:sz w:val="32"/>
          <w:szCs w:val="32"/>
          <w:highlight w:val="none"/>
          <w14:textFill>
            <w14:solidFill>
              <w14:schemeClr w14:val="tx1"/>
            </w14:solidFill>
          </w14:textFill>
        </w:rPr>
        <w:t>建设密切相关的国际组织落户本市，支持</w:t>
      </w:r>
      <w:r>
        <w:rPr>
          <w:rFonts w:hint="eastAsia" w:ascii="仿宋" w:hAnsi="仿宋" w:eastAsia="仿宋" w:cs="仿宋"/>
          <w:color w:val="000000" w:themeColor="text1"/>
          <w:kern w:val="0"/>
          <w:sz w:val="32"/>
          <w:szCs w:val="32"/>
          <w:highlight w:val="none"/>
          <w:lang w:eastAsia="zh-CN"/>
          <w14:textFill>
            <w14:solidFill>
              <w14:schemeClr w14:val="tx1"/>
            </w14:solidFill>
          </w14:textFill>
        </w:rPr>
        <w:t>设立</w:t>
      </w:r>
      <w:r>
        <w:rPr>
          <w:rFonts w:hint="eastAsia" w:ascii="仿宋" w:hAnsi="仿宋" w:eastAsia="仿宋" w:cs="仿宋"/>
          <w:color w:val="000000" w:themeColor="text1"/>
          <w:kern w:val="0"/>
          <w:sz w:val="32"/>
          <w:szCs w:val="32"/>
          <w:highlight w:val="none"/>
          <w14:textFill>
            <w14:solidFill>
              <w14:schemeClr w14:val="tx1"/>
            </w14:solidFill>
          </w14:textFill>
        </w:rPr>
        <w:t>与本市重点发展的战略性新兴产业相关的国际组织。</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38" w:name="_Toc70090182"/>
      <w:bookmarkStart w:id="139" w:name="_Toc67919248"/>
      <w:r>
        <w:rPr>
          <w:rFonts w:hint="eastAsia" w:ascii="仿宋" w:hAnsi="仿宋" w:eastAsia="仿宋" w:cs="仿宋"/>
          <w:b/>
          <w:bCs/>
          <w:color w:val="000000" w:themeColor="text1"/>
          <w:sz w:val="32"/>
          <w:szCs w:val="32"/>
          <w:highlight w:val="none"/>
          <w:lang w:eastAsia="zh-CN"/>
          <w14:textFill>
            <w14:solidFill>
              <w14:schemeClr w14:val="tx1"/>
            </w14:solidFill>
          </w14:textFill>
        </w:rPr>
        <w:t>第六十一条</w:t>
      </w:r>
      <w:r>
        <w:rPr>
          <w:rFonts w:hint="eastAsia" w:ascii="仿宋" w:hAnsi="仿宋" w:eastAsia="仿宋" w:cs="仿宋"/>
          <w:b/>
          <w:bCs/>
          <w:color w:val="000000" w:themeColor="text1"/>
          <w:sz w:val="32"/>
          <w:szCs w:val="32"/>
          <w:highlight w:val="none"/>
          <w14:textFill>
            <w14:solidFill>
              <w14:schemeClr w14:val="tx1"/>
            </w14:solidFill>
          </w14:textFill>
        </w:rPr>
        <w:t>【境外投资】</w:t>
      </w:r>
      <w:bookmarkEnd w:id="138"/>
      <w:bookmarkEnd w:id="139"/>
      <w:r>
        <w:rPr>
          <w:rFonts w:hint="eastAsia" w:ascii="仿宋" w:hAnsi="仿宋" w:eastAsia="仿宋" w:cs="仿宋"/>
          <w:color w:val="000000" w:themeColor="text1"/>
          <w:sz w:val="32"/>
          <w:szCs w:val="32"/>
          <w:highlight w:val="none"/>
          <w:lang w:eastAsia="zh-CN"/>
          <w14:textFill>
            <w14:solidFill>
              <w14:schemeClr w14:val="tx1"/>
            </w14:solidFill>
          </w14:textFill>
        </w:rPr>
        <w:t>市、区人民政府及有关部门应当建立</w:t>
      </w:r>
      <w:r>
        <w:rPr>
          <w:rFonts w:hint="eastAsia" w:ascii="仿宋" w:hAnsi="仿宋" w:eastAsia="仿宋" w:cs="仿宋"/>
          <w:color w:val="000000" w:themeColor="text1"/>
          <w:sz w:val="32"/>
          <w:szCs w:val="32"/>
          <w:highlight w:val="none"/>
          <w14:textFill>
            <w14:solidFill>
              <w14:schemeClr w14:val="tx1"/>
            </w14:solidFill>
          </w14:textFill>
        </w:rPr>
        <w:t>健全境外投资政策和服务体系，加强对企业对外投资的政策宣导、风险预警、法律辅导等服务。</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40" w:name="_Toc70090185"/>
      <w:bookmarkStart w:id="141" w:name="_Toc67919251"/>
      <w:r>
        <w:rPr>
          <w:rFonts w:hint="eastAsia" w:ascii="仿宋" w:hAnsi="仿宋" w:eastAsia="仿宋" w:cs="仿宋"/>
          <w:b/>
          <w:bCs/>
          <w:color w:val="000000" w:themeColor="text1"/>
          <w:sz w:val="32"/>
          <w:szCs w:val="32"/>
          <w:highlight w:val="none"/>
          <w:lang w:eastAsia="zh-CN"/>
          <w14:textFill>
            <w14:solidFill>
              <w14:schemeClr w14:val="tx1"/>
            </w14:solidFill>
          </w14:textFill>
        </w:rPr>
        <w:t>第六十二条</w:t>
      </w:r>
      <w:r>
        <w:rPr>
          <w:rFonts w:hint="eastAsia" w:ascii="仿宋" w:hAnsi="仿宋" w:eastAsia="仿宋" w:cs="仿宋"/>
          <w:b/>
          <w:bCs/>
          <w:color w:val="000000" w:themeColor="text1"/>
          <w:sz w:val="32"/>
          <w:szCs w:val="32"/>
          <w:highlight w:val="none"/>
          <w14:textFill>
            <w14:solidFill>
              <w14:schemeClr w14:val="tx1"/>
            </w14:solidFill>
          </w14:textFill>
        </w:rPr>
        <w:t>【涉外知识产权</w:t>
      </w:r>
      <w:r>
        <w:rPr>
          <w:rFonts w:hint="eastAsia" w:ascii="仿宋" w:hAnsi="仿宋" w:eastAsia="仿宋" w:cs="仿宋"/>
          <w:b/>
          <w:bCs/>
          <w:color w:val="000000" w:themeColor="text1"/>
          <w:sz w:val="32"/>
          <w:szCs w:val="32"/>
          <w:highlight w:val="none"/>
          <w:lang w:eastAsia="zh-CN"/>
          <w14:textFill>
            <w14:solidFill>
              <w14:schemeClr w14:val="tx1"/>
            </w14:solidFill>
          </w14:textFill>
        </w:rPr>
        <w:t>应急援助</w:t>
      </w:r>
      <w:r>
        <w:rPr>
          <w:rFonts w:hint="eastAsia" w:ascii="仿宋" w:hAnsi="仿宋" w:eastAsia="仿宋" w:cs="仿宋"/>
          <w:b/>
          <w:bCs/>
          <w:color w:val="000000" w:themeColor="text1"/>
          <w:sz w:val="32"/>
          <w:szCs w:val="32"/>
          <w:highlight w:val="none"/>
          <w14:textFill>
            <w14:solidFill>
              <w14:schemeClr w14:val="tx1"/>
            </w14:solidFill>
          </w14:textFill>
        </w:rPr>
        <w:t>】</w:t>
      </w:r>
      <w:bookmarkEnd w:id="140"/>
      <w:bookmarkEnd w:id="141"/>
      <w:r>
        <w:rPr>
          <w:rFonts w:hint="eastAsia" w:ascii="仿宋" w:hAnsi="仿宋" w:eastAsia="仿宋" w:cs="仿宋"/>
          <w:color w:val="000000" w:themeColor="text1"/>
          <w:sz w:val="32"/>
          <w:szCs w:val="32"/>
          <w:highlight w:val="none"/>
          <w14:textFill>
            <w14:solidFill>
              <w14:schemeClr w14:val="tx1"/>
            </w14:solidFill>
          </w14:textFill>
        </w:rPr>
        <w:t>知识产权主管部门应当建立企业专利海外应急援助机制，指导企业、协会制定海外重大突发知识产权案件应对预案，支持协会、知识产权中介机构为企业提供海外知识产权纠纷、争端和突发事件的应急援助。</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42" w:name="_Toc67499014"/>
      <w:bookmarkEnd w:id="142"/>
      <w:bookmarkStart w:id="143" w:name="_Toc67919252"/>
      <w:bookmarkStart w:id="144" w:name="_Toc70090186"/>
      <w:r>
        <w:rPr>
          <w:rFonts w:hint="eastAsia" w:ascii="仿宋" w:hAnsi="仿宋" w:eastAsia="仿宋" w:cs="仿宋"/>
          <w:b/>
          <w:bCs/>
          <w:color w:val="000000" w:themeColor="text1"/>
          <w:sz w:val="32"/>
          <w:szCs w:val="32"/>
          <w:highlight w:val="none"/>
          <w:lang w:eastAsia="zh-CN"/>
          <w14:textFill>
            <w14:solidFill>
              <w14:schemeClr w14:val="tx1"/>
            </w14:solidFill>
          </w14:textFill>
        </w:rPr>
        <w:t>第六十三条</w:t>
      </w:r>
      <w:r>
        <w:rPr>
          <w:rFonts w:hint="eastAsia" w:ascii="仿宋" w:hAnsi="仿宋" w:eastAsia="仿宋" w:cs="仿宋"/>
          <w:b/>
          <w:bCs/>
          <w:color w:val="000000" w:themeColor="text1"/>
          <w:sz w:val="32"/>
          <w:szCs w:val="32"/>
          <w:highlight w:val="none"/>
          <w14:textFill>
            <w14:solidFill>
              <w14:schemeClr w14:val="tx1"/>
            </w14:solidFill>
          </w14:textFill>
        </w:rPr>
        <w:t>【城市国际化水平】</w:t>
      </w:r>
      <w:bookmarkEnd w:id="143"/>
      <w:bookmarkEnd w:id="144"/>
      <w:r>
        <w:rPr>
          <w:rFonts w:hint="eastAsia" w:ascii="仿宋" w:hAnsi="仿宋" w:eastAsia="仿宋" w:cs="仿宋"/>
          <w:color w:val="000000" w:themeColor="text1"/>
          <w:sz w:val="32"/>
          <w:szCs w:val="32"/>
          <w:highlight w:val="none"/>
          <w14:textFill>
            <w14:solidFill>
              <w14:schemeClr w14:val="tx1"/>
            </w14:solidFill>
          </w14:textFill>
        </w:rPr>
        <w:t>市人民政府应当合理布局外国人服务机构</w:t>
      </w:r>
      <w:r>
        <w:rPr>
          <w:rFonts w:hint="eastAsia" w:ascii="仿宋" w:hAnsi="仿宋" w:eastAsia="仿宋" w:cs="仿宋"/>
          <w:color w:val="000000" w:themeColor="text1"/>
          <w:sz w:val="32"/>
          <w:szCs w:val="32"/>
          <w:highlight w:val="none"/>
          <w:lang w:eastAsia="zh-CN"/>
          <w14:textFill>
            <w14:solidFill>
              <w14:schemeClr w14:val="tx1"/>
            </w14:solidFill>
          </w14:textFill>
        </w:rPr>
        <w:t>，完善</w:t>
      </w:r>
      <w:r>
        <w:rPr>
          <w:rFonts w:hint="eastAsia" w:ascii="仿宋" w:hAnsi="仿宋" w:eastAsia="仿宋" w:cs="仿宋"/>
          <w:color w:val="000000" w:themeColor="text1"/>
          <w:sz w:val="32"/>
          <w:szCs w:val="32"/>
          <w:highlight w:val="none"/>
          <w14:textFill>
            <w14:solidFill>
              <w14:schemeClr w14:val="tx1"/>
            </w14:solidFill>
          </w14:textFill>
        </w:rPr>
        <w:t>国际教育、医疗、养老、文化等配套设施，推进国际合作公共服务设施建设，提升城市国际化水平。</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45" w:name="_Toc67499017"/>
      <w:bookmarkEnd w:id="145"/>
      <w:bookmarkStart w:id="146" w:name="_Toc67499016"/>
      <w:bookmarkEnd w:id="146"/>
      <w:bookmarkStart w:id="147" w:name="_Toc70090187"/>
      <w:bookmarkStart w:id="148" w:name="_Toc67919253"/>
      <w:r>
        <w:rPr>
          <w:rFonts w:hint="eastAsia" w:ascii="仿宋" w:hAnsi="仿宋" w:eastAsia="仿宋" w:cs="仿宋"/>
          <w:b/>
          <w:bCs/>
          <w:color w:val="000000" w:themeColor="text1"/>
          <w:sz w:val="32"/>
          <w:szCs w:val="32"/>
          <w:highlight w:val="none"/>
          <w:lang w:eastAsia="zh-CN"/>
          <w14:textFill>
            <w14:solidFill>
              <w14:schemeClr w14:val="tx1"/>
            </w14:solidFill>
          </w14:textFill>
        </w:rPr>
        <w:t>第六十四条</w:t>
      </w:r>
      <w:r>
        <w:rPr>
          <w:rFonts w:hint="eastAsia" w:ascii="仿宋" w:hAnsi="仿宋" w:eastAsia="仿宋" w:cs="仿宋"/>
          <w:b/>
          <w:bCs/>
          <w:color w:val="000000" w:themeColor="text1"/>
          <w:sz w:val="32"/>
          <w:szCs w:val="32"/>
          <w:highlight w:val="none"/>
          <w14:textFill>
            <w14:solidFill>
              <w14:schemeClr w14:val="tx1"/>
            </w14:solidFill>
          </w14:textFill>
        </w:rPr>
        <w:t>【国际人才服务】</w:t>
      </w:r>
      <w:bookmarkEnd w:id="147"/>
      <w:bookmarkEnd w:id="148"/>
      <w:r>
        <w:rPr>
          <w:rFonts w:hint="eastAsia" w:ascii="仿宋" w:hAnsi="仿宋" w:eastAsia="仿宋" w:cs="仿宋"/>
          <w:color w:val="000000" w:themeColor="text1"/>
          <w:sz w:val="32"/>
          <w:szCs w:val="32"/>
          <w:highlight w:val="none"/>
          <w14:textFill>
            <w14:solidFill>
              <w14:schemeClr w14:val="tx1"/>
            </w14:solidFill>
          </w14:textFill>
        </w:rPr>
        <w:t>实行更加开放的境外人才引进和出入境管理制度，支持市场主体引进海外高层次人才。对引进符合条件的留学归国人才、外籍人才、港澳台专业人才，在医疗、社保、落户、税收、住房、子女入学等方面提供支持，为海外人才停留居留、往返签证、出入境通关提供便利。</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49" w:name="_Toc67499021"/>
      <w:bookmarkEnd w:id="149"/>
      <w:bookmarkStart w:id="150" w:name="_Toc67499019"/>
      <w:bookmarkEnd w:id="150"/>
      <w:bookmarkStart w:id="151" w:name="_Toc67499020"/>
      <w:bookmarkEnd w:id="151"/>
      <w:bookmarkStart w:id="152" w:name="_Toc67499022"/>
      <w:bookmarkEnd w:id="152"/>
      <w:bookmarkStart w:id="153" w:name="_Toc67919254"/>
      <w:bookmarkStart w:id="154" w:name="_Toc70090188"/>
      <w:r>
        <w:rPr>
          <w:rFonts w:hint="eastAsia" w:ascii="仿宋" w:hAnsi="仿宋" w:eastAsia="仿宋" w:cs="仿宋"/>
          <w:b/>
          <w:bCs/>
          <w:color w:val="000000" w:themeColor="text1"/>
          <w:sz w:val="32"/>
          <w:szCs w:val="32"/>
          <w:highlight w:val="none"/>
          <w:lang w:eastAsia="zh-CN"/>
          <w14:textFill>
            <w14:solidFill>
              <w14:schemeClr w14:val="tx1"/>
            </w14:solidFill>
          </w14:textFill>
        </w:rPr>
        <w:t>第六十五条</w:t>
      </w:r>
      <w:r>
        <w:rPr>
          <w:rFonts w:hint="eastAsia" w:ascii="仿宋" w:hAnsi="仿宋" w:eastAsia="仿宋" w:cs="仿宋"/>
          <w:b/>
          <w:bCs/>
          <w:color w:val="000000" w:themeColor="text1"/>
          <w:sz w:val="32"/>
          <w:szCs w:val="32"/>
          <w:highlight w:val="none"/>
          <w14:textFill>
            <w14:solidFill>
              <w14:schemeClr w14:val="tx1"/>
            </w14:solidFill>
          </w14:textFill>
        </w:rPr>
        <w:t>【国际交流合作】</w:t>
      </w:r>
      <w:bookmarkEnd w:id="153"/>
      <w:bookmarkEnd w:id="154"/>
      <w:r>
        <w:rPr>
          <w:rFonts w:hint="eastAsia" w:ascii="仿宋" w:hAnsi="仿宋" w:eastAsia="仿宋" w:cs="仿宋"/>
          <w:color w:val="000000" w:themeColor="text1"/>
          <w:sz w:val="32"/>
          <w:szCs w:val="32"/>
          <w:highlight w:val="none"/>
          <w14:textFill>
            <w14:solidFill>
              <w14:schemeClr w14:val="tx1"/>
            </w14:solidFill>
          </w14:textFill>
        </w:rPr>
        <w:t>市人民政府应当按照国家部署，打造实施“一带一路”海上合作战略支点，深化与沿线国家和地区在政策沟通、设施联通、贸易畅通、资金融通等方面</w:t>
      </w:r>
      <w:r>
        <w:rPr>
          <w:rFonts w:hint="eastAsia" w:ascii="仿宋" w:hAnsi="仿宋" w:eastAsia="仿宋" w:cs="仿宋"/>
          <w:color w:val="000000" w:themeColor="text1"/>
          <w:sz w:val="32"/>
          <w:szCs w:val="32"/>
          <w:highlight w:val="none"/>
          <w:lang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交流与合作。</w:t>
      </w:r>
      <w:bookmarkStart w:id="155" w:name="_Toc67499025"/>
      <w:bookmarkEnd w:id="155"/>
      <w:bookmarkStart w:id="156" w:name="_Toc67499026"/>
      <w:bookmarkEnd w:id="156"/>
      <w:bookmarkStart w:id="157" w:name="_Toc67919257"/>
      <w:bookmarkStart w:id="158" w:name="_Toc70090190"/>
    </w:p>
    <w:bookmarkEnd w:id="157"/>
    <w:bookmarkEnd w:id="158"/>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b w:val="0"/>
          <w:bCs w:val="0"/>
          <w:sz w:val="32"/>
          <w:szCs w:val="32"/>
          <w:highlight w:val="none"/>
        </w:rPr>
      </w:pPr>
      <w:bookmarkStart w:id="159" w:name="_Toc67919272"/>
      <w:bookmarkStart w:id="160" w:name="_Toc63867620"/>
      <w:bookmarkStart w:id="161" w:name="_Toc70090202"/>
      <w:r>
        <w:rPr>
          <w:rFonts w:hint="eastAsia" w:ascii="黑体" w:hAnsi="黑体" w:eastAsia="黑体" w:cs="黑体"/>
          <w:b w:val="0"/>
          <w:bCs w:val="0"/>
          <w:sz w:val="32"/>
          <w:szCs w:val="32"/>
          <w:highlight w:val="none"/>
        </w:rPr>
        <w:t>第六章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法治环境</w:t>
      </w:r>
      <w:bookmarkEnd w:id="159"/>
      <w:bookmarkEnd w:id="160"/>
      <w:bookmarkEnd w:id="161"/>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62" w:name="_Toc67919274"/>
      <w:bookmarkStart w:id="163" w:name="_Toc70090204"/>
      <w:r>
        <w:rPr>
          <w:rFonts w:hint="eastAsia" w:ascii="仿宋" w:hAnsi="仿宋" w:eastAsia="仿宋" w:cs="仿宋"/>
          <w:b/>
          <w:bCs/>
          <w:color w:val="000000" w:themeColor="text1"/>
          <w:sz w:val="32"/>
          <w:szCs w:val="32"/>
          <w:highlight w:val="none"/>
          <w:lang w:eastAsia="zh-CN"/>
          <w14:textFill>
            <w14:solidFill>
              <w14:schemeClr w14:val="tx1"/>
            </w14:solidFill>
          </w14:textFill>
        </w:rPr>
        <w:t>第六十六条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规则的制定</w:t>
      </w:r>
      <w:r>
        <w:rPr>
          <w:rFonts w:hint="eastAsia" w:ascii="仿宋" w:hAnsi="仿宋" w:eastAsia="仿宋" w:cs="仿宋"/>
          <w:b/>
          <w:bCs/>
          <w:color w:val="000000" w:themeColor="text1"/>
          <w:sz w:val="32"/>
          <w:szCs w:val="32"/>
          <w:highlight w:val="none"/>
          <w14:textFill>
            <w14:solidFill>
              <w14:schemeClr w14:val="tx1"/>
            </w14:solidFill>
          </w14:textFill>
        </w:rPr>
        <w:t>】</w:t>
      </w:r>
      <w:bookmarkEnd w:id="162"/>
      <w:bookmarkEnd w:id="163"/>
      <w:r>
        <w:rPr>
          <w:rFonts w:hint="eastAsia" w:ascii="仿宋" w:hAnsi="仿宋" w:eastAsia="仿宋" w:cs="仿宋"/>
          <w:color w:val="000000" w:themeColor="text1"/>
          <w:sz w:val="32"/>
          <w:szCs w:val="32"/>
          <w:highlight w:val="none"/>
          <w14:textFill>
            <w14:solidFill>
              <w14:schemeClr w14:val="tx1"/>
            </w14:solidFill>
          </w14:textFill>
        </w:rPr>
        <w:t>市、区人民政府及有关部门制定与市场主体生产经营活动密切相关的规章</w:t>
      </w:r>
      <w:r>
        <w:rPr>
          <w:rFonts w:hint="eastAsia" w:ascii="仿宋" w:hAnsi="仿宋" w:eastAsia="仿宋" w:cs="仿宋"/>
          <w:color w:val="000000" w:themeColor="text1"/>
          <w:sz w:val="32"/>
          <w:szCs w:val="32"/>
          <w:highlight w:val="none"/>
          <w:lang w:eastAsia="zh-CN"/>
          <w14:textFill>
            <w14:solidFill>
              <w14:schemeClr w14:val="tx1"/>
            </w14:solidFill>
          </w14:textFill>
        </w:rPr>
        <w:t>或者</w:t>
      </w:r>
      <w:r>
        <w:rPr>
          <w:rFonts w:hint="eastAsia" w:ascii="仿宋" w:hAnsi="仿宋" w:eastAsia="仿宋" w:cs="仿宋"/>
          <w:color w:val="000000" w:themeColor="text1"/>
          <w:sz w:val="32"/>
          <w:szCs w:val="32"/>
          <w:highlight w:val="none"/>
          <w14:textFill>
            <w14:solidFill>
              <w14:schemeClr w14:val="tx1"/>
            </w14:solidFill>
          </w14:textFill>
        </w:rPr>
        <w:t>行政规范性文件，应当进行合法性审查</w:t>
      </w:r>
      <w:r>
        <w:rPr>
          <w:rFonts w:hint="eastAsia" w:ascii="仿宋" w:hAnsi="仿宋" w:eastAsia="仿宋" w:cs="仿宋"/>
          <w:color w:val="000000" w:themeColor="text1"/>
          <w:sz w:val="32"/>
          <w:szCs w:val="32"/>
          <w:highlight w:val="none"/>
          <w:lang w:eastAsia="zh-CN"/>
          <w14:textFill>
            <w14:solidFill>
              <w14:schemeClr w14:val="tx1"/>
            </w14:solidFill>
          </w14:textFill>
        </w:rPr>
        <w:t>，并充分听取市场主体和行业协会、商会的意见</w:t>
      </w:r>
      <w:r>
        <w:rPr>
          <w:rFonts w:hint="eastAsia" w:ascii="仿宋" w:hAnsi="仿宋" w:eastAsia="仿宋" w:cs="仿宋"/>
          <w:color w:val="000000" w:themeColor="text1"/>
          <w:sz w:val="32"/>
          <w:szCs w:val="32"/>
          <w:highlight w:val="none"/>
          <w14:textFill>
            <w14:solidFill>
              <w14:schemeClr w14:val="tx1"/>
            </w14:solidFill>
          </w14:textFill>
        </w:rPr>
        <w:t>。规章</w:t>
      </w:r>
      <w:r>
        <w:rPr>
          <w:rFonts w:hint="eastAsia" w:ascii="仿宋" w:hAnsi="仿宋" w:eastAsia="仿宋" w:cs="仿宋"/>
          <w:color w:val="000000" w:themeColor="text1"/>
          <w:sz w:val="32"/>
          <w:szCs w:val="32"/>
          <w:highlight w:val="none"/>
          <w:lang w:eastAsia="zh-CN"/>
          <w14:textFill>
            <w14:solidFill>
              <w14:schemeClr w14:val="tx1"/>
            </w14:solidFill>
          </w14:textFill>
        </w:rPr>
        <w:t>和</w:t>
      </w:r>
      <w:r>
        <w:rPr>
          <w:rFonts w:hint="eastAsia" w:ascii="仿宋" w:hAnsi="仿宋" w:eastAsia="仿宋" w:cs="仿宋"/>
          <w:color w:val="000000" w:themeColor="text1"/>
          <w:sz w:val="32"/>
          <w:szCs w:val="32"/>
          <w:highlight w:val="none"/>
          <w14:textFill>
            <w14:solidFill>
              <w14:schemeClr w14:val="tx1"/>
            </w14:solidFill>
          </w14:textFill>
        </w:rPr>
        <w:t>行政规范性文件没有法律、法规依据，不得设置市场准入和退出条件，不得减损市场主体的合法权益或者增加其义务，不得干预市场主体的正常生产经营活动。</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市、区人民政府及有关部门制定与市场主体生产经营活动密切相关的政策措施，应当为市场主体留出必要的适应调整期，涉及国家安全和公布后不立即施行将有碍施行的除外。</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市场主体认为规章、行政规范性文件</w:t>
      </w:r>
      <w:r>
        <w:rPr>
          <w:rFonts w:hint="eastAsia" w:ascii="仿宋" w:hAnsi="仿宋" w:eastAsia="仿宋" w:cs="仿宋"/>
          <w:color w:val="000000" w:themeColor="text1"/>
          <w:sz w:val="32"/>
          <w:szCs w:val="32"/>
          <w:highlight w:val="none"/>
          <w:lang w:eastAsia="zh-CN"/>
          <w14:textFill>
            <w14:solidFill>
              <w14:schemeClr w14:val="tx1"/>
            </w14:solidFill>
          </w14:textFill>
        </w:rPr>
        <w:t>或者</w:t>
      </w:r>
      <w:r>
        <w:rPr>
          <w:rFonts w:hint="eastAsia" w:ascii="仿宋" w:hAnsi="仿宋" w:eastAsia="仿宋" w:cs="仿宋"/>
          <w:color w:val="000000" w:themeColor="text1"/>
          <w:sz w:val="32"/>
          <w:szCs w:val="32"/>
          <w:highlight w:val="none"/>
          <w14:textFill>
            <w14:solidFill>
              <w14:schemeClr w14:val="tx1"/>
            </w14:solidFill>
          </w14:textFill>
        </w:rPr>
        <w:t>其他政策措施同上位法相抵触的，可以依法向制定</w:t>
      </w:r>
      <w:r>
        <w:rPr>
          <w:rFonts w:hint="eastAsia" w:ascii="仿宋" w:hAnsi="仿宋" w:eastAsia="仿宋" w:cs="仿宋"/>
          <w:color w:val="000000" w:themeColor="text1"/>
          <w:sz w:val="32"/>
          <w:szCs w:val="32"/>
          <w:highlight w:val="none"/>
          <w:lang w:eastAsia="zh-CN"/>
          <w14:textFill>
            <w14:solidFill>
              <w14:schemeClr w14:val="tx1"/>
            </w14:solidFill>
          </w14:textFill>
        </w:rPr>
        <w:t>机关或者备案</w:t>
      </w:r>
      <w:r>
        <w:rPr>
          <w:rFonts w:hint="eastAsia" w:ascii="仿宋" w:hAnsi="仿宋" w:eastAsia="仿宋" w:cs="仿宋"/>
          <w:color w:val="000000" w:themeColor="text1"/>
          <w:sz w:val="32"/>
          <w:szCs w:val="32"/>
          <w:highlight w:val="none"/>
          <w14:textFill>
            <w14:solidFill>
              <w14:schemeClr w14:val="tx1"/>
            </w14:solidFill>
          </w14:textFill>
        </w:rPr>
        <w:t>机关提出审查建议</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有关机关应当按照规定程序处理。</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第六十七</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条【公平竞争审查】</w:t>
      </w:r>
      <w:r>
        <w:rPr>
          <w:rFonts w:hint="eastAsia" w:ascii="仿宋" w:hAnsi="仿宋" w:eastAsia="仿宋" w:cs="仿宋"/>
          <w:color w:val="000000" w:themeColor="text1"/>
          <w:sz w:val="32"/>
          <w:szCs w:val="32"/>
          <w:highlight w:val="none"/>
          <w14:textFill>
            <w14:solidFill>
              <w14:schemeClr w14:val="tx1"/>
            </w14:solidFill>
          </w14:textFill>
        </w:rPr>
        <w:t>市、区人民政府及有关部门制定产业发展、招商引资、招标投标、政府采购、经营行为规范、资质标准等涉及市场主体经营活动的规章、行政规范性文件和其他政策措施时，应当进行公平竞争审查</w:t>
      </w:r>
      <w:r>
        <w:rPr>
          <w:rFonts w:hint="eastAsia" w:ascii="仿宋" w:hAnsi="仿宋" w:eastAsia="仿宋" w:cs="仿宋"/>
          <w:color w:val="000000" w:themeColor="text1"/>
          <w:sz w:val="32"/>
          <w:szCs w:val="32"/>
          <w:highlight w:val="none"/>
          <w:lang w:eastAsia="zh-CN"/>
          <w14:textFill>
            <w14:solidFill>
              <w14:schemeClr w14:val="tx1"/>
            </w14:solidFill>
          </w14:textFill>
        </w:rPr>
        <w:t>，未经审查或者经审查不符合公平竞争要求的，不得出台</w:t>
      </w:r>
      <w:r>
        <w:rPr>
          <w:rFonts w:hint="eastAsia" w:ascii="仿宋" w:hAnsi="仿宋" w:eastAsia="仿宋" w:cs="仿宋"/>
          <w:color w:val="000000" w:themeColor="text1"/>
          <w:sz w:val="32"/>
          <w:szCs w:val="32"/>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任何单位和个人认为地方性法规、规章和行政规范性文件影响公平竞争的，有权向制定机关、备案机关、市场监督管理部门提出异议，有关部门应当依法及时处理。</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64" w:name="_Toc70090206"/>
      <w:r>
        <w:rPr>
          <w:rFonts w:hint="eastAsia" w:ascii="仿宋" w:hAnsi="仿宋" w:eastAsia="仿宋" w:cs="仿宋"/>
          <w:b/>
          <w:bCs/>
          <w:color w:val="000000" w:themeColor="text1"/>
          <w:sz w:val="32"/>
          <w:szCs w:val="32"/>
          <w:highlight w:val="none"/>
          <w:lang w:eastAsia="zh-CN"/>
          <w14:textFill>
            <w14:solidFill>
              <w14:schemeClr w14:val="tx1"/>
            </w14:solidFill>
          </w14:textFill>
        </w:rPr>
        <w:t>第六十八条</w:t>
      </w:r>
      <w:r>
        <w:rPr>
          <w:rFonts w:hint="eastAsia" w:ascii="仿宋" w:hAnsi="仿宋" w:eastAsia="仿宋" w:cs="仿宋"/>
          <w:b/>
          <w:bCs/>
          <w:color w:val="000000" w:themeColor="text1"/>
          <w:sz w:val="32"/>
          <w:szCs w:val="32"/>
          <w:highlight w:val="none"/>
          <w14:textFill>
            <w14:solidFill>
              <w14:schemeClr w14:val="tx1"/>
            </w14:solidFill>
          </w14:textFill>
        </w:rPr>
        <w:t>【反垄断</w:t>
      </w:r>
      <w:r>
        <w:rPr>
          <w:rFonts w:hint="eastAsia" w:ascii="仿宋" w:hAnsi="仿宋" w:eastAsia="仿宋" w:cs="仿宋"/>
          <w:b/>
          <w:bCs/>
          <w:color w:val="000000" w:themeColor="text1"/>
          <w:sz w:val="32"/>
          <w:szCs w:val="32"/>
          <w:highlight w:val="none"/>
          <w:lang w:eastAsia="zh-CN"/>
          <w14:textFill>
            <w14:solidFill>
              <w14:schemeClr w14:val="tx1"/>
            </w14:solidFill>
          </w14:textFill>
        </w:rPr>
        <w:t>及反不正当竞争</w:t>
      </w:r>
      <w:r>
        <w:rPr>
          <w:rFonts w:hint="eastAsia" w:ascii="仿宋" w:hAnsi="仿宋" w:eastAsia="仿宋" w:cs="仿宋"/>
          <w:b/>
          <w:bCs/>
          <w:color w:val="000000" w:themeColor="text1"/>
          <w:sz w:val="32"/>
          <w:szCs w:val="32"/>
          <w:highlight w:val="none"/>
          <w14:textFill>
            <w14:solidFill>
              <w14:schemeClr w14:val="tx1"/>
            </w14:solidFill>
          </w14:textFill>
        </w:rPr>
        <w:t>】</w:t>
      </w:r>
      <w:bookmarkEnd w:id="164"/>
      <w:r>
        <w:rPr>
          <w:rFonts w:hint="eastAsia" w:ascii="仿宋" w:hAnsi="仿宋" w:eastAsia="仿宋" w:cs="仿宋"/>
          <w:color w:val="000000" w:themeColor="text1"/>
          <w:sz w:val="32"/>
          <w:szCs w:val="32"/>
          <w:highlight w:val="none"/>
          <w14:textFill>
            <w14:solidFill>
              <w14:schemeClr w14:val="tx1"/>
            </w14:solidFill>
          </w14:textFill>
        </w:rPr>
        <w:t>市场监督管理部门</w:t>
      </w:r>
      <w:r>
        <w:rPr>
          <w:rFonts w:hint="eastAsia" w:ascii="仿宋" w:hAnsi="仿宋" w:eastAsia="仿宋" w:cs="仿宋"/>
          <w:color w:val="000000" w:themeColor="text1"/>
          <w:sz w:val="32"/>
          <w:szCs w:val="32"/>
          <w:highlight w:val="none"/>
          <w:lang w:eastAsia="zh-CN"/>
          <w14:textFill>
            <w14:solidFill>
              <w14:schemeClr w14:val="tx1"/>
            </w14:solidFill>
          </w14:textFill>
        </w:rPr>
        <w:t>应当依法加强反垄断工作和加大反不正当竞争执法力度，严厉打击市场经济活动中的不正当竞争违法行为，营造公平竞争的市场环境。</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65" w:name="_Toc70090207"/>
      <w:bookmarkStart w:id="166" w:name="_Toc67919276"/>
      <w:r>
        <w:rPr>
          <w:rFonts w:hint="eastAsia" w:ascii="仿宋" w:hAnsi="仿宋" w:eastAsia="仿宋" w:cs="仿宋"/>
          <w:b/>
          <w:bCs/>
          <w:color w:val="000000" w:themeColor="text1"/>
          <w:sz w:val="32"/>
          <w:szCs w:val="32"/>
          <w:highlight w:val="none"/>
          <w:lang w:eastAsia="zh-CN"/>
          <w14:textFill>
            <w14:solidFill>
              <w14:schemeClr w14:val="tx1"/>
            </w14:solidFill>
          </w14:textFill>
        </w:rPr>
        <w:t>第六十九条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普法宣传</w:t>
      </w:r>
      <w:r>
        <w:rPr>
          <w:rFonts w:hint="eastAsia" w:ascii="仿宋" w:hAnsi="仿宋" w:eastAsia="仿宋" w:cs="仿宋"/>
          <w:b/>
          <w:bCs/>
          <w:color w:val="000000" w:themeColor="text1"/>
          <w:sz w:val="32"/>
          <w:szCs w:val="32"/>
          <w:highlight w:val="none"/>
          <w14:textFill>
            <w14:solidFill>
              <w14:schemeClr w14:val="tx1"/>
            </w14:solidFill>
          </w14:textFill>
        </w:rPr>
        <w:t>】</w:t>
      </w:r>
      <w:bookmarkEnd w:id="165"/>
      <w:bookmarkEnd w:id="166"/>
      <w:r>
        <w:rPr>
          <w:rFonts w:hint="eastAsia" w:ascii="仿宋" w:hAnsi="仿宋" w:eastAsia="仿宋" w:cs="仿宋"/>
          <w:color w:val="000000" w:themeColor="text1"/>
          <w:sz w:val="32"/>
          <w:szCs w:val="32"/>
          <w:highlight w:val="none"/>
          <w:lang w:eastAsia="zh-CN"/>
          <w14:textFill>
            <w14:solidFill>
              <w14:schemeClr w14:val="tx1"/>
            </w14:solidFill>
          </w14:textFill>
        </w:rPr>
        <w:t>各级人民政府及有关部门应当按照“谁执法谁普法”的要求开展优化营商环境法治宣传工作，将涉及市场主体的法律、法规、规章、行政规范性文件等主动精准向市场主体进行法治宣传教育解读，引导市场主体合法经营，依法维护自身合法权益。</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67" w:name="_Toc70090208"/>
      <w:r>
        <w:rPr>
          <w:rFonts w:hint="eastAsia" w:ascii="仿宋" w:hAnsi="仿宋" w:eastAsia="仿宋" w:cs="仿宋"/>
          <w:b/>
          <w:bCs/>
          <w:color w:val="000000" w:themeColor="text1"/>
          <w:sz w:val="32"/>
          <w:szCs w:val="32"/>
          <w:highlight w:val="none"/>
          <w:lang w:eastAsia="zh-CN"/>
          <w14:textFill>
            <w14:solidFill>
              <w14:schemeClr w14:val="tx1"/>
            </w14:solidFill>
          </w14:textFill>
        </w:rPr>
        <w:t>第七十条</w:t>
      </w:r>
      <w:r>
        <w:rPr>
          <w:rFonts w:hint="eastAsia" w:ascii="仿宋" w:hAnsi="仿宋" w:eastAsia="仿宋" w:cs="仿宋"/>
          <w:b/>
          <w:bCs/>
          <w:color w:val="000000" w:themeColor="text1"/>
          <w:sz w:val="32"/>
          <w:szCs w:val="32"/>
          <w:highlight w:val="none"/>
          <w14:textFill>
            <w14:solidFill>
              <w14:schemeClr w14:val="tx1"/>
            </w14:solidFill>
          </w14:textFill>
        </w:rPr>
        <w:t>【保护中小投资者】</w:t>
      </w:r>
      <w:bookmarkEnd w:id="167"/>
      <w:r>
        <w:rPr>
          <w:rFonts w:hint="eastAsia" w:ascii="仿宋" w:hAnsi="仿宋" w:eastAsia="仿宋" w:cs="仿宋"/>
          <w:color w:val="000000" w:themeColor="text1"/>
          <w:sz w:val="32"/>
          <w:szCs w:val="32"/>
          <w:highlight w:val="none"/>
          <w:lang w:eastAsia="zh-CN"/>
          <w14:textFill>
            <w14:solidFill>
              <w14:schemeClr w14:val="tx1"/>
            </w14:solidFill>
          </w14:textFill>
        </w:rPr>
        <w:t>本市</w:t>
      </w:r>
      <w:r>
        <w:rPr>
          <w:rFonts w:hint="eastAsia" w:ascii="仿宋" w:hAnsi="仿宋" w:eastAsia="仿宋" w:cs="仿宋"/>
          <w:color w:val="000000" w:themeColor="text1"/>
          <w:sz w:val="32"/>
          <w:szCs w:val="32"/>
          <w:highlight w:val="none"/>
          <w14:textFill>
            <w14:solidFill>
              <w14:schemeClr w14:val="tx1"/>
            </w14:solidFill>
          </w14:textFill>
        </w:rPr>
        <w:t>加</w:t>
      </w:r>
      <w:r>
        <w:rPr>
          <w:rFonts w:hint="eastAsia" w:ascii="仿宋" w:hAnsi="仿宋" w:eastAsia="仿宋" w:cs="仿宋"/>
          <w:color w:val="000000" w:themeColor="text1"/>
          <w:sz w:val="32"/>
          <w:szCs w:val="32"/>
          <w:highlight w:val="none"/>
          <w:lang w:eastAsia="zh-CN"/>
          <w14:textFill>
            <w14:solidFill>
              <w14:schemeClr w14:val="tx1"/>
            </w14:solidFill>
          </w14:textFill>
        </w:rPr>
        <w:t>大</w:t>
      </w:r>
      <w:r>
        <w:rPr>
          <w:rFonts w:hint="eastAsia" w:ascii="仿宋" w:hAnsi="仿宋" w:eastAsia="仿宋" w:cs="仿宋"/>
          <w:color w:val="000000" w:themeColor="text1"/>
          <w:sz w:val="32"/>
          <w:szCs w:val="32"/>
          <w:highlight w:val="none"/>
          <w14:textFill>
            <w14:solidFill>
              <w14:schemeClr w14:val="tx1"/>
            </w14:solidFill>
          </w14:textFill>
        </w:rPr>
        <w:t>中小投资者权益保护</w:t>
      </w:r>
      <w:r>
        <w:rPr>
          <w:rFonts w:hint="eastAsia" w:ascii="仿宋" w:hAnsi="仿宋" w:eastAsia="仿宋" w:cs="仿宋"/>
          <w:color w:val="000000" w:themeColor="text1"/>
          <w:sz w:val="32"/>
          <w:szCs w:val="32"/>
          <w:highlight w:val="none"/>
          <w:lang w:eastAsia="zh-CN"/>
          <w14:textFill>
            <w14:solidFill>
              <w14:schemeClr w14:val="tx1"/>
            </w14:solidFill>
          </w14:textFill>
        </w:rPr>
        <w:t>力度</w:t>
      </w:r>
      <w:r>
        <w:rPr>
          <w:rFonts w:hint="eastAsia" w:ascii="仿宋" w:hAnsi="仿宋" w:eastAsia="仿宋" w:cs="仿宋"/>
          <w:color w:val="000000" w:themeColor="text1"/>
          <w:sz w:val="32"/>
          <w:szCs w:val="32"/>
          <w:highlight w:val="none"/>
          <w14:textFill>
            <w14:solidFill>
              <w14:schemeClr w14:val="tx1"/>
            </w14:solidFill>
          </w14:textFill>
        </w:rPr>
        <w:t>，完善中小投资者权益保护机制，依法保障中小投资者的知情权、参与权、表决权、收益权和监督权等合法权益</w:t>
      </w:r>
      <w:r>
        <w:rPr>
          <w:rFonts w:hint="eastAsia" w:ascii="仿宋" w:hAnsi="仿宋" w:eastAsia="仿宋" w:cs="仿宋"/>
          <w:color w:val="000000" w:themeColor="text1"/>
          <w:sz w:val="32"/>
          <w:szCs w:val="32"/>
          <w:highlight w:val="none"/>
          <w:lang w:eastAsia="zh-CN"/>
          <w14:textFill>
            <w14:solidFill>
              <w14:schemeClr w14:val="tx1"/>
            </w14:solidFill>
          </w14:textFill>
        </w:rPr>
        <w:t>，畅通中小投资者维权渠道，</w:t>
      </w:r>
      <w:r>
        <w:rPr>
          <w:rFonts w:hint="eastAsia" w:ascii="仿宋" w:hAnsi="仿宋" w:eastAsia="仿宋" w:cs="仿宋"/>
          <w:color w:val="000000" w:themeColor="text1"/>
          <w:sz w:val="32"/>
          <w:szCs w:val="32"/>
          <w:highlight w:val="none"/>
          <w14:textFill>
            <w14:solidFill>
              <w14:schemeClr w14:val="tx1"/>
            </w14:solidFill>
          </w14:textFill>
        </w:rPr>
        <w:t>提升中小投资者维护合法权益的便利度</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bookmarkStart w:id="168" w:name="_Toc70090209"/>
      <w:r>
        <w:rPr>
          <w:rFonts w:hint="eastAsia" w:ascii="仿宋" w:hAnsi="仿宋" w:eastAsia="仿宋" w:cs="仿宋"/>
          <w:b/>
          <w:bCs/>
          <w:color w:val="000000" w:themeColor="text1"/>
          <w:sz w:val="32"/>
          <w:szCs w:val="32"/>
          <w:highlight w:val="none"/>
          <w:lang w:eastAsia="zh-CN"/>
          <w14:textFill>
            <w14:solidFill>
              <w14:schemeClr w14:val="tx1"/>
            </w14:solidFill>
          </w14:textFill>
        </w:rPr>
        <w:t>第七十一条</w:t>
      </w:r>
      <w:r>
        <w:rPr>
          <w:rFonts w:hint="eastAsia" w:ascii="仿宋" w:hAnsi="仿宋" w:eastAsia="仿宋" w:cs="仿宋"/>
          <w:b/>
          <w:bCs/>
          <w:color w:val="000000" w:themeColor="text1"/>
          <w:sz w:val="32"/>
          <w:szCs w:val="32"/>
          <w:highlight w:val="none"/>
          <w14:textFill>
            <w14:solidFill>
              <w14:schemeClr w14:val="tx1"/>
            </w14:solidFill>
          </w14:textFill>
        </w:rPr>
        <w:t>【知识产权保护】</w:t>
      </w:r>
      <w:bookmarkEnd w:id="168"/>
      <w:r>
        <w:rPr>
          <w:rFonts w:hint="eastAsia" w:ascii="仿宋" w:hAnsi="仿宋" w:eastAsia="仿宋" w:cs="仿宋"/>
          <w:color w:val="000000" w:themeColor="text1"/>
          <w:sz w:val="32"/>
          <w:szCs w:val="32"/>
          <w:highlight w:val="none"/>
          <w:lang w:val="en-US" w:eastAsia="zh-CN"/>
          <w14:textFill>
            <w14:solidFill>
              <w14:schemeClr w14:val="tx1"/>
            </w14:solidFill>
          </w14:textFill>
        </w:rPr>
        <w:t>市人民政府应当加强知识产权保护，建立健全知识产权快速协同保护机制，依法实行知识产权侵权惩罚性赔偿制度，构建知识产权维权援助服务体系，优化知识产权行政保护与司法保护的衔接。</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69" w:name="_Toc67919277"/>
      <w:bookmarkStart w:id="170" w:name="_Toc70090210"/>
      <w:r>
        <w:rPr>
          <w:rFonts w:hint="eastAsia" w:ascii="仿宋" w:hAnsi="仿宋" w:eastAsia="仿宋" w:cs="仿宋"/>
          <w:b/>
          <w:bCs/>
          <w:color w:val="000000" w:themeColor="text1"/>
          <w:sz w:val="32"/>
          <w:szCs w:val="32"/>
          <w:highlight w:val="none"/>
          <w:lang w:eastAsia="zh-CN"/>
          <w14:textFill>
            <w14:solidFill>
              <w14:schemeClr w14:val="tx1"/>
            </w14:solidFill>
          </w14:textFill>
        </w:rPr>
        <w:t>第七十二条</w:t>
      </w:r>
      <w:r>
        <w:rPr>
          <w:rFonts w:hint="eastAsia" w:ascii="仿宋" w:hAnsi="仿宋" w:eastAsia="仿宋" w:cs="仿宋"/>
          <w:b/>
          <w:bCs/>
          <w:color w:val="000000" w:themeColor="text1"/>
          <w:sz w:val="32"/>
          <w:szCs w:val="32"/>
          <w:highlight w:val="none"/>
          <w14:textFill>
            <w14:solidFill>
              <w14:schemeClr w14:val="tx1"/>
            </w14:solidFill>
          </w14:textFill>
        </w:rPr>
        <w:t>【府院联动】</w:t>
      </w:r>
      <w:bookmarkEnd w:id="169"/>
      <w:bookmarkEnd w:id="170"/>
      <w:r>
        <w:rPr>
          <w:rFonts w:hint="eastAsia" w:ascii="仿宋" w:hAnsi="仿宋" w:eastAsia="仿宋" w:cs="仿宋"/>
          <w:color w:val="000000" w:themeColor="text1"/>
          <w:sz w:val="32"/>
          <w:szCs w:val="32"/>
          <w:highlight w:val="none"/>
          <w:lang w:eastAsia="zh-CN"/>
          <w14:textFill>
            <w14:solidFill>
              <w14:schemeClr w14:val="tx1"/>
            </w14:solidFill>
          </w14:textFill>
        </w:rPr>
        <w:t>政府有关部门、企事业单位应当支持人民法院依法线上、线下核验</w:t>
      </w:r>
      <w:r>
        <w:rPr>
          <w:rFonts w:hint="eastAsia" w:ascii="仿宋" w:hAnsi="仿宋" w:eastAsia="仿宋" w:cs="仿宋"/>
          <w:color w:val="000000" w:themeColor="text1"/>
          <w:sz w:val="32"/>
          <w:szCs w:val="32"/>
          <w:highlight w:val="none"/>
          <w14:textFill>
            <w14:solidFill>
              <w14:schemeClr w14:val="tx1"/>
            </w14:solidFill>
          </w14:textFill>
        </w:rPr>
        <w:t>有关市场主体的身份、财产、市场交易等信息</w:t>
      </w:r>
      <w:r>
        <w:rPr>
          <w:rFonts w:hint="eastAsia" w:ascii="仿宋" w:hAnsi="仿宋" w:eastAsia="仿宋" w:cs="仿宋"/>
          <w:color w:val="000000" w:themeColor="text1"/>
          <w:sz w:val="32"/>
          <w:szCs w:val="32"/>
          <w:highlight w:val="none"/>
          <w:lang w:eastAsia="zh-CN"/>
          <w14:textFill>
            <w14:solidFill>
              <w14:schemeClr w14:val="tx1"/>
            </w14:solidFill>
          </w14:textFill>
        </w:rPr>
        <w:t>以及</w:t>
      </w:r>
      <w:r>
        <w:rPr>
          <w:rFonts w:hint="eastAsia" w:ascii="仿宋" w:hAnsi="仿宋" w:eastAsia="仿宋" w:cs="仿宋"/>
          <w:color w:val="000000" w:themeColor="text1"/>
          <w:sz w:val="32"/>
          <w:szCs w:val="32"/>
          <w:highlight w:val="none"/>
          <w14:textFill>
            <w14:solidFill>
              <w14:schemeClr w14:val="tx1"/>
            </w14:solidFill>
          </w14:textFill>
        </w:rPr>
        <w:t>对涉案不动产、动产、股权、知识产权及其他财产权利实施查控和处置</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支持人民法院建立机动车辆路面查控机制。掌握机动车辆的登记、行驶、停放、维修、年检等信息或</w:t>
      </w:r>
      <w:r>
        <w:rPr>
          <w:rFonts w:hint="eastAsia" w:ascii="仿宋" w:hAnsi="仿宋" w:eastAsia="仿宋" w:cs="仿宋"/>
          <w:color w:val="000000" w:themeColor="text1"/>
          <w:sz w:val="32"/>
          <w:szCs w:val="32"/>
          <w:highlight w:val="none"/>
          <w:lang w:eastAsia="zh-CN"/>
          <w14:textFill>
            <w14:solidFill>
              <w14:schemeClr w14:val="tx1"/>
            </w14:solidFill>
          </w14:textFill>
        </w:rPr>
        <w:t>者</w:t>
      </w:r>
      <w:r>
        <w:rPr>
          <w:rFonts w:hint="eastAsia" w:ascii="仿宋" w:hAnsi="仿宋" w:eastAsia="仿宋" w:cs="仿宋"/>
          <w:color w:val="000000" w:themeColor="text1"/>
          <w:sz w:val="32"/>
          <w:szCs w:val="32"/>
          <w:highlight w:val="none"/>
          <w14:textFill>
            <w14:solidFill>
              <w14:schemeClr w14:val="tx1"/>
            </w14:solidFill>
          </w14:textFill>
        </w:rPr>
        <w:t>数据的单位</w:t>
      </w:r>
      <w:r>
        <w:rPr>
          <w:rFonts w:hint="eastAsia" w:ascii="仿宋" w:hAnsi="仿宋" w:eastAsia="仿宋" w:cs="仿宋"/>
          <w:color w:val="000000" w:themeColor="text1"/>
          <w:sz w:val="32"/>
          <w:szCs w:val="32"/>
          <w:highlight w:val="none"/>
          <w:lang w:eastAsia="zh-CN"/>
          <w14:textFill>
            <w14:solidFill>
              <w14:schemeClr w14:val="tx1"/>
            </w14:solidFill>
          </w14:textFill>
        </w:rPr>
        <w:t>应当</w:t>
      </w:r>
      <w:r>
        <w:rPr>
          <w:rFonts w:hint="eastAsia" w:ascii="仿宋" w:hAnsi="仿宋" w:eastAsia="仿宋" w:cs="仿宋"/>
          <w:color w:val="000000" w:themeColor="text1"/>
          <w:sz w:val="32"/>
          <w:szCs w:val="32"/>
          <w:highlight w:val="none"/>
          <w14:textFill>
            <w14:solidFill>
              <w14:schemeClr w14:val="tx1"/>
            </w14:solidFill>
          </w14:textFill>
        </w:rPr>
        <w:t>协助人民法院调查、扣押机动车辆。</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第七十三</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健全行业管理</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有关</w:t>
      </w:r>
      <w:r>
        <w:rPr>
          <w:rFonts w:hint="eastAsia" w:ascii="仿宋" w:hAnsi="仿宋" w:eastAsia="仿宋" w:cs="仿宋"/>
          <w:color w:val="000000" w:themeColor="text1"/>
          <w:sz w:val="32"/>
          <w:szCs w:val="32"/>
          <w:highlight w:val="none"/>
          <w14:textFill>
            <w14:solidFill>
              <w14:schemeClr w14:val="tx1"/>
            </w14:solidFill>
          </w14:textFill>
        </w:rPr>
        <w:t>行业主管部门应当按照职责分工建立健全司法鉴定、资产评估、审计审价等行业管理制度，督促相关机构优化工作流程、压缩工作时限、提高工作质量，配合</w:t>
      </w:r>
      <w:r>
        <w:rPr>
          <w:rFonts w:hint="eastAsia" w:ascii="仿宋" w:hAnsi="仿宋" w:eastAsia="仿宋" w:cs="仿宋"/>
          <w:color w:val="000000" w:themeColor="text1"/>
          <w:sz w:val="32"/>
          <w:szCs w:val="32"/>
          <w:highlight w:val="none"/>
          <w:lang w:eastAsia="zh-CN"/>
          <w14:textFill>
            <w14:solidFill>
              <w14:schemeClr w14:val="tx1"/>
            </w14:solidFill>
          </w14:textFill>
        </w:rPr>
        <w:t>司法机关</w:t>
      </w:r>
      <w:r>
        <w:rPr>
          <w:rFonts w:hint="eastAsia" w:ascii="仿宋" w:hAnsi="仿宋" w:eastAsia="仿宋" w:cs="仿宋"/>
          <w:color w:val="000000" w:themeColor="text1"/>
          <w:sz w:val="32"/>
          <w:szCs w:val="32"/>
          <w:highlight w:val="none"/>
          <w14:textFill>
            <w14:solidFill>
              <w14:schemeClr w14:val="tx1"/>
            </w14:solidFill>
          </w14:textFill>
        </w:rPr>
        <w:t>查明事实。</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71" w:name="_Toc67919278"/>
      <w:bookmarkStart w:id="172" w:name="_Toc70090211"/>
      <w:r>
        <w:rPr>
          <w:rFonts w:hint="eastAsia" w:ascii="仿宋" w:hAnsi="仿宋" w:eastAsia="仿宋" w:cs="仿宋"/>
          <w:b/>
          <w:bCs/>
          <w:color w:val="000000" w:themeColor="text1"/>
          <w:sz w:val="32"/>
          <w:szCs w:val="32"/>
          <w:highlight w:val="none"/>
          <w:lang w:eastAsia="zh-CN"/>
          <w14:textFill>
            <w14:solidFill>
              <w14:schemeClr w14:val="tx1"/>
            </w14:solidFill>
          </w14:textFill>
        </w:rPr>
        <w:t>第七十四条</w:t>
      </w:r>
      <w:r>
        <w:rPr>
          <w:rFonts w:hint="eastAsia" w:ascii="仿宋" w:hAnsi="仿宋" w:eastAsia="仿宋" w:cs="仿宋"/>
          <w:b/>
          <w:bCs/>
          <w:color w:val="000000" w:themeColor="text1"/>
          <w:sz w:val="32"/>
          <w:szCs w:val="32"/>
          <w:highlight w:val="none"/>
          <w14:textFill>
            <w14:solidFill>
              <w14:schemeClr w14:val="tx1"/>
            </w14:solidFill>
          </w14:textFill>
        </w:rPr>
        <w:t>【破产工作协调机制】</w:t>
      </w:r>
      <w:bookmarkEnd w:id="171"/>
      <w:bookmarkEnd w:id="172"/>
      <w:r>
        <w:rPr>
          <w:rFonts w:hint="eastAsia" w:ascii="仿宋" w:hAnsi="仿宋" w:eastAsia="仿宋" w:cs="仿宋"/>
          <w:color w:val="000000" w:themeColor="text1"/>
          <w:sz w:val="32"/>
          <w:szCs w:val="32"/>
          <w:highlight w:val="none"/>
          <w:lang w:eastAsia="zh-CN"/>
          <w14:textFill>
            <w14:solidFill>
              <w14:schemeClr w14:val="tx1"/>
            </w14:solidFill>
          </w14:textFill>
        </w:rPr>
        <w:t>本市建立</w:t>
      </w:r>
      <w:r>
        <w:rPr>
          <w:rFonts w:hint="eastAsia" w:ascii="仿宋" w:hAnsi="仿宋" w:eastAsia="仿宋" w:cs="仿宋"/>
          <w:color w:val="000000" w:themeColor="text1"/>
          <w:sz w:val="32"/>
          <w:szCs w:val="32"/>
          <w:highlight w:val="none"/>
          <w14:textFill>
            <w14:solidFill>
              <w14:schemeClr w14:val="tx1"/>
            </w14:solidFill>
          </w14:textFill>
        </w:rPr>
        <w:t>常态化、规范化的破产工作协调联动机制，统筹推进企业破产过程中的企业注销、企业各类财产的接管与处置、职工安置与社保转移、税收减免、信用修复、风险防范和融资支持等各项工作，建立健全破产费用多元化保障机制，提高企业破产工作的办理效率和社会效益。</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企业破产财产经询价、评估确定价值后，税务机关应</w:t>
      </w:r>
      <w:r>
        <w:rPr>
          <w:rFonts w:hint="eastAsia" w:ascii="仿宋" w:hAnsi="仿宋" w:eastAsia="仿宋" w:cs="仿宋"/>
          <w:color w:val="000000" w:themeColor="text1"/>
          <w:sz w:val="32"/>
          <w:szCs w:val="32"/>
          <w:highlight w:val="none"/>
          <w:lang w:eastAsia="zh-CN"/>
          <w14:textFill>
            <w14:solidFill>
              <w14:schemeClr w14:val="tx1"/>
            </w14:solidFill>
          </w14:textFill>
        </w:rPr>
        <w:t>当</w:t>
      </w:r>
      <w:r>
        <w:rPr>
          <w:rFonts w:hint="eastAsia" w:ascii="仿宋" w:hAnsi="仿宋" w:eastAsia="仿宋" w:cs="仿宋"/>
          <w:color w:val="000000" w:themeColor="text1"/>
          <w:sz w:val="32"/>
          <w:szCs w:val="32"/>
          <w:highlight w:val="none"/>
          <w14:textFill>
            <w14:solidFill>
              <w14:schemeClr w14:val="tx1"/>
            </w14:solidFill>
          </w14:textFill>
        </w:rPr>
        <w:t>根据人民法院的商请，对财产处置过户中可能产生的税费进行综合测算，及时向人民法院通报</w:t>
      </w:r>
      <w:r>
        <w:rPr>
          <w:rFonts w:hint="eastAsia" w:ascii="仿宋" w:hAnsi="仿宋" w:eastAsia="仿宋" w:cs="仿宋"/>
          <w:color w:val="000000" w:themeColor="text1"/>
          <w:sz w:val="32"/>
          <w:szCs w:val="32"/>
          <w:highlight w:val="none"/>
          <w:lang w:eastAsia="zh-CN"/>
          <w14:textFill>
            <w14:solidFill>
              <w14:schemeClr w14:val="tx1"/>
            </w14:solidFill>
          </w14:textFill>
        </w:rPr>
        <w:t>测算</w:t>
      </w:r>
      <w:r>
        <w:rPr>
          <w:rFonts w:hint="eastAsia" w:ascii="仿宋" w:hAnsi="仿宋" w:eastAsia="仿宋" w:cs="仿宋"/>
          <w:color w:val="000000" w:themeColor="text1"/>
          <w:sz w:val="32"/>
          <w:szCs w:val="32"/>
          <w:highlight w:val="none"/>
          <w14:textFill>
            <w14:solidFill>
              <w14:schemeClr w14:val="tx1"/>
            </w14:solidFill>
          </w14:textFill>
        </w:rPr>
        <w:t>结果。</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人力资源和社会保障部门应当加大对破产企业职工权益的保障力度，协调解决职工社会保险关系转移、退休人员社会化管理、档案接转等事项，保障职工合法权益。</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市场监督管理、自然资源和规划、公安等有关部门应当与人民法院协商确定破产企业的对外投资股权、土地、房产、车辆等财产的处置和过户规则，配合办理破产财产解除查封、</w:t>
      </w:r>
      <w:r>
        <w:rPr>
          <w:rFonts w:hint="eastAsia" w:ascii="仿宋" w:hAnsi="仿宋" w:eastAsia="仿宋" w:cs="仿宋"/>
          <w:color w:val="000000" w:themeColor="text1"/>
          <w:sz w:val="32"/>
          <w:szCs w:val="32"/>
          <w:highlight w:val="none"/>
          <w:lang w:eastAsia="zh-CN"/>
          <w14:textFill>
            <w14:solidFill>
              <w14:schemeClr w14:val="tx1"/>
            </w14:solidFill>
          </w14:textFill>
        </w:rPr>
        <w:t>注销</w:t>
      </w:r>
      <w:r>
        <w:rPr>
          <w:rFonts w:hint="eastAsia" w:ascii="仿宋" w:hAnsi="仿宋" w:eastAsia="仿宋" w:cs="仿宋"/>
          <w:color w:val="000000" w:themeColor="text1"/>
          <w:sz w:val="32"/>
          <w:szCs w:val="32"/>
          <w:highlight w:val="none"/>
          <w14:textFill>
            <w14:solidFill>
              <w14:schemeClr w14:val="tx1"/>
            </w14:solidFill>
          </w14:textFill>
        </w:rPr>
        <w:t>抵押或</w:t>
      </w:r>
      <w:r>
        <w:rPr>
          <w:rFonts w:hint="eastAsia" w:ascii="仿宋" w:hAnsi="仿宋" w:eastAsia="仿宋" w:cs="仿宋"/>
          <w:color w:val="000000" w:themeColor="text1"/>
          <w:sz w:val="32"/>
          <w:szCs w:val="32"/>
          <w:highlight w:val="none"/>
          <w:lang w:eastAsia="zh-CN"/>
          <w14:textFill>
            <w14:solidFill>
              <w14:schemeClr w14:val="tx1"/>
            </w14:solidFill>
          </w14:textFill>
        </w:rPr>
        <w:t>者</w:t>
      </w:r>
      <w:r>
        <w:rPr>
          <w:rFonts w:hint="eastAsia" w:ascii="仿宋" w:hAnsi="仿宋" w:eastAsia="仿宋" w:cs="仿宋"/>
          <w:color w:val="000000" w:themeColor="text1"/>
          <w:sz w:val="32"/>
          <w:szCs w:val="32"/>
          <w:highlight w:val="none"/>
          <w14:textFill>
            <w14:solidFill>
              <w14:schemeClr w14:val="tx1"/>
            </w14:solidFill>
          </w14:textFill>
        </w:rPr>
        <w:t>质押</w:t>
      </w:r>
      <w:r>
        <w:rPr>
          <w:rFonts w:hint="eastAsia" w:ascii="仿宋" w:hAnsi="仿宋" w:eastAsia="仿宋" w:cs="仿宋"/>
          <w:color w:val="000000" w:themeColor="text1"/>
          <w:sz w:val="32"/>
          <w:szCs w:val="32"/>
          <w:highlight w:val="none"/>
          <w:lang w:eastAsia="zh-CN"/>
          <w14:textFill>
            <w14:solidFill>
              <w14:schemeClr w14:val="tx1"/>
            </w14:solidFill>
          </w14:textFill>
        </w:rPr>
        <w:t>登记</w:t>
      </w:r>
      <w:r>
        <w:rPr>
          <w:rFonts w:hint="eastAsia" w:ascii="仿宋" w:hAnsi="仿宋" w:eastAsia="仿宋" w:cs="仿宋"/>
          <w:color w:val="000000" w:themeColor="text1"/>
          <w:sz w:val="32"/>
          <w:szCs w:val="32"/>
          <w:highlight w:val="none"/>
          <w14:textFill>
            <w14:solidFill>
              <w14:schemeClr w14:val="tx1"/>
            </w14:solidFill>
          </w14:textFill>
        </w:rPr>
        <w:t>、过户等手续，提高破产财产处置效率。</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73" w:name="_Toc67919279"/>
      <w:bookmarkStart w:id="174" w:name="_Toc70090212"/>
      <w:r>
        <w:rPr>
          <w:rFonts w:hint="eastAsia" w:ascii="仿宋" w:hAnsi="仿宋" w:eastAsia="仿宋" w:cs="仿宋"/>
          <w:b/>
          <w:bCs/>
          <w:color w:val="000000" w:themeColor="text1"/>
          <w:sz w:val="32"/>
          <w:szCs w:val="32"/>
          <w:highlight w:val="none"/>
          <w:lang w:eastAsia="zh-CN"/>
          <w14:textFill>
            <w14:solidFill>
              <w14:schemeClr w14:val="tx1"/>
            </w14:solidFill>
          </w14:textFill>
        </w:rPr>
        <w:t>第七十五条</w:t>
      </w:r>
      <w:r>
        <w:rPr>
          <w:rFonts w:hint="eastAsia" w:ascii="仿宋" w:hAnsi="仿宋" w:eastAsia="仿宋" w:cs="仿宋"/>
          <w:b/>
          <w:bCs/>
          <w:color w:val="000000" w:themeColor="text1"/>
          <w:sz w:val="32"/>
          <w:szCs w:val="32"/>
          <w:highlight w:val="none"/>
          <w14:textFill>
            <w14:solidFill>
              <w14:schemeClr w14:val="tx1"/>
            </w14:solidFill>
          </w14:textFill>
        </w:rPr>
        <w:t>【破产管理人履职】</w:t>
      </w:r>
      <w:bookmarkEnd w:id="173"/>
      <w:bookmarkEnd w:id="174"/>
      <w:r>
        <w:rPr>
          <w:rFonts w:hint="eastAsia" w:ascii="仿宋" w:hAnsi="仿宋" w:eastAsia="仿宋" w:cs="仿宋"/>
          <w:color w:val="000000" w:themeColor="text1"/>
          <w:sz w:val="32"/>
          <w:szCs w:val="32"/>
          <w:highlight w:val="none"/>
          <w14:textFill>
            <w14:solidFill>
              <w14:schemeClr w14:val="tx1"/>
            </w14:solidFill>
          </w14:textFill>
        </w:rPr>
        <w:t>依法保障破产管理人履行法定职责。政府有关部门应</w:t>
      </w:r>
      <w:r>
        <w:rPr>
          <w:rFonts w:hint="eastAsia" w:ascii="仿宋" w:hAnsi="仿宋" w:eastAsia="仿宋" w:cs="仿宋"/>
          <w:color w:val="000000" w:themeColor="text1"/>
          <w:sz w:val="32"/>
          <w:szCs w:val="32"/>
          <w:highlight w:val="none"/>
          <w:lang w:eastAsia="zh-CN"/>
          <w14:textFill>
            <w14:solidFill>
              <w14:schemeClr w14:val="tx1"/>
            </w14:solidFill>
          </w14:textFill>
        </w:rPr>
        <w:t>当</w:t>
      </w:r>
      <w:r>
        <w:rPr>
          <w:rFonts w:hint="eastAsia" w:ascii="仿宋" w:hAnsi="仿宋" w:eastAsia="仿宋" w:cs="仿宋"/>
          <w:color w:val="000000" w:themeColor="text1"/>
          <w:sz w:val="32"/>
          <w:szCs w:val="32"/>
          <w:highlight w:val="none"/>
          <w14:textFill>
            <w14:solidFill>
              <w14:schemeClr w14:val="tx1"/>
            </w14:solidFill>
          </w14:textFill>
        </w:rPr>
        <w:t>配合、协助破产管理人办理破产中的查询、接管</w:t>
      </w:r>
      <w:r>
        <w:rPr>
          <w:rFonts w:hint="eastAsia" w:ascii="仿宋" w:hAnsi="仿宋" w:eastAsia="仿宋" w:cs="仿宋"/>
          <w:color w:val="000000" w:themeColor="text1"/>
          <w:sz w:val="32"/>
          <w:szCs w:val="32"/>
          <w:highlight w:val="none"/>
          <w:lang w:eastAsia="zh-CN"/>
          <w14:textFill>
            <w14:solidFill>
              <w14:schemeClr w14:val="tx1"/>
            </w14:solidFill>
          </w14:textFill>
        </w:rPr>
        <w:t>、处置</w:t>
      </w:r>
      <w:r>
        <w:rPr>
          <w:rFonts w:hint="eastAsia" w:ascii="仿宋" w:hAnsi="仿宋" w:eastAsia="仿宋" w:cs="仿宋"/>
          <w:color w:val="000000" w:themeColor="text1"/>
          <w:sz w:val="32"/>
          <w:szCs w:val="32"/>
          <w:highlight w:val="none"/>
          <w14:textFill>
            <w14:solidFill>
              <w14:schemeClr w14:val="tx1"/>
            </w14:solidFill>
          </w14:textFill>
        </w:rPr>
        <w:t>等工作</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简化</w:t>
      </w:r>
      <w:r>
        <w:rPr>
          <w:rFonts w:hint="eastAsia" w:ascii="仿宋" w:hAnsi="仿宋" w:eastAsia="仿宋" w:cs="仿宋"/>
          <w:color w:val="000000" w:themeColor="text1"/>
          <w:sz w:val="32"/>
          <w:szCs w:val="32"/>
          <w:highlight w:val="none"/>
          <w:lang w:eastAsia="zh-CN"/>
          <w14:textFill>
            <w14:solidFill>
              <w14:schemeClr w14:val="tx1"/>
            </w14:solidFill>
          </w14:textFill>
        </w:rPr>
        <w:t>相关办事手续</w:t>
      </w:r>
      <w:r>
        <w:rPr>
          <w:rFonts w:hint="eastAsia" w:ascii="仿宋" w:hAnsi="仿宋" w:eastAsia="仿宋" w:cs="仿宋"/>
          <w:color w:val="000000" w:themeColor="text1"/>
          <w:sz w:val="32"/>
          <w:szCs w:val="32"/>
          <w:highlight w:val="none"/>
          <w14:textFill>
            <w14:solidFill>
              <w14:schemeClr w14:val="tx1"/>
            </w14:solidFill>
          </w14:textFill>
        </w:rPr>
        <w:t>，提</w:t>
      </w:r>
      <w:r>
        <w:rPr>
          <w:rFonts w:hint="eastAsia" w:ascii="仿宋" w:hAnsi="仿宋" w:eastAsia="仿宋" w:cs="仿宋"/>
          <w:color w:val="000000" w:themeColor="text1"/>
          <w:sz w:val="32"/>
          <w:szCs w:val="32"/>
          <w:highlight w:val="none"/>
          <w:lang w:eastAsia="zh-CN"/>
          <w14:textFill>
            <w14:solidFill>
              <w14:schemeClr w14:val="tx1"/>
            </w14:solidFill>
          </w14:textFill>
        </w:rPr>
        <w:t>高</w:t>
      </w:r>
      <w:r>
        <w:rPr>
          <w:rFonts w:hint="eastAsia" w:ascii="仿宋" w:hAnsi="仿宋" w:eastAsia="仿宋" w:cs="仿宋"/>
          <w:color w:val="000000" w:themeColor="text1"/>
          <w:sz w:val="32"/>
          <w:szCs w:val="32"/>
          <w:highlight w:val="none"/>
          <w14:textFill>
            <w14:solidFill>
              <w14:schemeClr w14:val="tx1"/>
            </w14:solidFill>
          </w14:textFill>
        </w:rPr>
        <w:t>办理</w:t>
      </w:r>
      <w:r>
        <w:rPr>
          <w:rFonts w:hint="eastAsia" w:ascii="仿宋" w:hAnsi="仿宋" w:eastAsia="仿宋" w:cs="仿宋"/>
          <w:color w:val="000000" w:themeColor="text1"/>
          <w:sz w:val="32"/>
          <w:szCs w:val="32"/>
          <w:highlight w:val="none"/>
          <w:lang w:eastAsia="zh-CN"/>
          <w14:textFill>
            <w14:solidFill>
              <w14:schemeClr w14:val="tx1"/>
            </w14:solidFill>
          </w14:textFill>
        </w:rPr>
        <w:t>效率</w:t>
      </w:r>
      <w:r>
        <w:rPr>
          <w:rFonts w:hint="eastAsia" w:ascii="仿宋" w:hAnsi="仿宋" w:eastAsia="仿宋" w:cs="仿宋"/>
          <w:color w:val="000000" w:themeColor="text1"/>
          <w:sz w:val="32"/>
          <w:szCs w:val="32"/>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75" w:name="_Toc70090213"/>
      <w:bookmarkStart w:id="176" w:name="_Toc67919280"/>
      <w:r>
        <w:rPr>
          <w:rFonts w:hint="eastAsia" w:ascii="仿宋" w:hAnsi="仿宋" w:eastAsia="仿宋" w:cs="仿宋"/>
          <w:b/>
          <w:bCs/>
          <w:color w:val="000000" w:themeColor="text1"/>
          <w:sz w:val="32"/>
          <w:szCs w:val="32"/>
          <w:highlight w:val="none"/>
          <w:lang w:eastAsia="zh-CN"/>
          <w14:textFill>
            <w14:solidFill>
              <w14:schemeClr w14:val="tx1"/>
            </w14:solidFill>
          </w14:textFill>
        </w:rPr>
        <w:t>第七十六条</w:t>
      </w:r>
      <w:r>
        <w:rPr>
          <w:rFonts w:hint="eastAsia" w:ascii="仿宋" w:hAnsi="仿宋" w:eastAsia="仿宋" w:cs="仿宋"/>
          <w:b/>
          <w:bCs/>
          <w:color w:val="000000" w:themeColor="text1"/>
          <w:sz w:val="32"/>
          <w:szCs w:val="32"/>
          <w:highlight w:val="none"/>
          <w14:textFill>
            <w14:solidFill>
              <w14:schemeClr w14:val="tx1"/>
            </w14:solidFill>
          </w14:textFill>
        </w:rPr>
        <w:t>【保障持续经营】</w:t>
      </w:r>
      <w:bookmarkEnd w:id="175"/>
      <w:bookmarkEnd w:id="176"/>
      <w:r>
        <w:rPr>
          <w:rFonts w:hint="eastAsia" w:ascii="仿宋" w:hAnsi="仿宋" w:eastAsia="仿宋" w:cs="仿宋"/>
          <w:color w:val="000000" w:themeColor="text1"/>
          <w:sz w:val="32"/>
          <w:szCs w:val="32"/>
          <w:highlight w:val="none"/>
          <w14:textFill>
            <w14:solidFill>
              <w14:schemeClr w14:val="tx1"/>
            </w14:solidFill>
          </w14:textFill>
        </w:rPr>
        <w:t>重整期间，</w:t>
      </w:r>
      <w:r>
        <w:rPr>
          <w:rFonts w:hint="eastAsia" w:ascii="仿宋" w:hAnsi="仿宋" w:eastAsia="仿宋" w:cs="仿宋"/>
          <w:color w:val="000000" w:themeColor="text1"/>
          <w:sz w:val="32"/>
          <w:szCs w:val="32"/>
          <w:highlight w:val="none"/>
          <w:lang w:eastAsia="zh-CN"/>
          <w14:textFill>
            <w14:solidFill>
              <w14:schemeClr w14:val="tx1"/>
            </w14:solidFill>
          </w14:textFill>
        </w:rPr>
        <w:t>对有重整价值和可能性、符合本市产业政策方向的企业，税务机关可以</w:t>
      </w:r>
      <w:r>
        <w:rPr>
          <w:rFonts w:hint="eastAsia" w:ascii="仿宋" w:hAnsi="仿宋" w:eastAsia="仿宋" w:cs="仿宋"/>
          <w:color w:val="000000" w:themeColor="text1"/>
          <w:sz w:val="32"/>
          <w:szCs w:val="32"/>
          <w:highlight w:val="none"/>
          <w14:textFill>
            <w14:solidFill>
              <w14:schemeClr w14:val="tx1"/>
            </w14:solidFill>
          </w14:textFill>
        </w:rPr>
        <w:t>按照有关规定解除重整企业非正常户认定状态；市场监督管理部门</w:t>
      </w:r>
      <w:r>
        <w:rPr>
          <w:rFonts w:hint="eastAsia" w:ascii="仿宋" w:hAnsi="仿宋" w:eastAsia="仿宋" w:cs="仿宋"/>
          <w:color w:val="000000" w:themeColor="text1"/>
          <w:sz w:val="32"/>
          <w:szCs w:val="32"/>
          <w:highlight w:val="none"/>
          <w:lang w:eastAsia="zh-CN"/>
          <w14:textFill>
            <w14:solidFill>
              <w14:schemeClr w14:val="tx1"/>
            </w14:solidFill>
          </w14:textFill>
        </w:rPr>
        <w:t>按照有关规定</w:t>
      </w:r>
      <w:r>
        <w:rPr>
          <w:rFonts w:hint="eastAsia" w:ascii="仿宋" w:hAnsi="仿宋" w:eastAsia="仿宋" w:cs="仿宋"/>
          <w:color w:val="000000" w:themeColor="text1"/>
          <w:sz w:val="32"/>
          <w:szCs w:val="32"/>
          <w:highlight w:val="none"/>
          <w14:textFill>
            <w14:solidFill>
              <w14:schemeClr w14:val="tx1"/>
            </w14:solidFill>
          </w14:textFill>
        </w:rPr>
        <w:t>及时将企业从经营异常名录或者严重违法</w:t>
      </w:r>
      <w:r>
        <w:rPr>
          <w:rFonts w:hint="eastAsia" w:ascii="仿宋" w:hAnsi="仿宋" w:eastAsia="仿宋" w:cs="仿宋"/>
          <w:color w:val="000000" w:themeColor="text1"/>
          <w:sz w:val="32"/>
          <w:szCs w:val="32"/>
          <w:highlight w:val="none"/>
          <w:lang w:eastAsia="zh-CN"/>
          <w14:textFill>
            <w14:solidFill>
              <w14:schemeClr w14:val="tx1"/>
            </w14:solidFill>
          </w14:textFill>
        </w:rPr>
        <w:t>失信</w:t>
      </w:r>
      <w:r>
        <w:rPr>
          <w:rFonts w:hint="eastAsia" w:ascii="仿宋" w:hAnsi="仿宋" w:eastAsia="仿宋" w:cs="仿宋"/>
          <w:color w:val="000000" w:themeColor="text1"/>
          <w:sz w:val="32"/>
          <w:szCs w:val="32"/>
          <w:highlight w:val="none"/>
          <w14:textFill>
            <w14:solidFill>
              <w14:schemeClr w14:val="tx1"/>
            </w14:solidFill>
          </w14:textFill>
        </w:rPr>
        <w:t>企业名单中移除</w:t>
      </w:r>
      <w:r>
        <w:rPr>
          <w:rFonts w:hint="eastAsia" w:ascii="仿宋" w:hAnsi="仿宋" w:eastAsia="仿宋" w:cs="仿宋"/>
          <w:color w:val="000000" w:themeColor="text1"/>
          <w:sz w:val="32"/>
          <w:szCs w:val="32"/>
          <w:highlight w:val="none"/>
          <w:lang w:eastAsia="zh-CN"/>
          <w14:textFill>
            <w14:solidFill>
              <w14:schemeClr w14:val="tx1"/>
            </w14:solidFill>
          </w14:textFill>
        </w:rPr>
        <w:t>；鼓励金</w:t>
      </w:r>
      <w:r>
        <w:rPr>
          <w:rFonts w:hint="eastAsia" w:ascii="仿宋" w:hAnsi="仿宋" w:eastAsia="仿宋" w:cs="仿宋"/>
          <w:color w:val="000000" w:themeColor="text1"/>
          <w:sz w:val="32"/>
          <w:szCs w:val="32"/>
          <w:highlight w:val="none"/>
          <w14:textFill>
            <w14:solidFill>
              <w14:schemeClr w14:val="tx1"/>
            </w14:solidFill>
          </w14:textFill>
        </w:rPr>
        <w:t>融机构及时变更、修复企业征信信息</w:t>
      </w:r>
      <w:r>
        <w:rPr>
          <w:rFonts w:hint="eastAsia" w:ascii="仿宋" w:hAnsi="仿宋" w:eastAsia="仿宋" w:cs="仿宋"/>
          <w:color w:val="000000" w:themeColor="text1"/>
          <w:sz w:val="32"/>
          <w:szCs w:val="32"/>
          <w:highlight w:val="none"/>
          <w:lang w:eastAsia="zh-CN"/>
          <w14:textFill>
            <w14:solidFill>
              <w14:schemeClr w14:val="tx1"/>
            </w14:solidFill>
          </w14:textFill>
        </w:rPr>
        <w:t>，支持企业破产融资。</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企业因重整取得的债务重组收入，</w:t>
      </w:r>
      <w:r>
        <w:rPr>
          <w:rFonts w:hint="eastAsia" w:ascii="仿宋" w:hAnsi="仿宋" w:eastAsia="仿宋" w:cs="仿宋"/>
          <w:color w:val="000000" w:themeColor="text1"/>
          <w:sz w:val="32"/>
          <w:szCs w:val="32"/>
          <w:highlight w:val="none"/>
          <w:lang w:eastAsia="zh-CN"/>
          <w14:textFill>
            <w14:solidFill>
              <w14:schemeClr w14:val="tx1"/>
            </w14:solidFill>
          </w14:textFill>
        </w:rPr>
        <w:t>按</w:t>
      </w:r>
      <w:r>
        <w:rPr>
          <w:rFonts w:hint="eastAsia" w:ascii="仿宋" w:hAnsi="仿宋" w:eastAsia="仿宋" w:cs="仿宋"/>
          <w:color w:val="000000" w:themeColor="text1"/>
          <w:sz w:val="32"/>
          <w:szCs w:val="32"/>
          <w:highlight w:val="none"/>
          <w14:textFill>
            <w14:solidFill>
              <w14:schemeClr w14:val="tx1"/>
            </w14:solidFill>
          </w14:textFill>
        </w:rPr>
        <w:t>照国家有关规定适用企业所得税相关政策。对于企业涉及的房产、土地</w:t>
      </w:r>
      <w:r>
        <w:rPr>
          <w:rFonts w:hint="eastAsia" w:ascii="仿宋" w:hAnsi="仿宋" w:eastAsia="仿宋" w:cs="仿宋"/>
          <w:color w:val="000000" w:themeColor="text1"/>
          <w:sz w:val="32"/>
          <w:szCs w:val="32"/>
          <w:highlight w:val="none"/>
          <w:lang w:eastAsia="zh-CN"/>
          <w14:textFill>
            <w14:solidFill>
              <w14:schemeClr w14:val="tx1"/>
            </w14:solidFill>
          </w14:textFill>
        </w:rPr>
        <w:t>等方面的</w:t>
      </w:r>
      <w:r>
        <w:rPr>
          <w:rFonts w:hint="eastAsia" w:ascii="仿宋" w:hAnsi="仿宋" w:eastAsia="仿宋" w:cs="仿宋"/>
          <w:color w:val="000000" w:themeColor="text1"/>
          <w:sz w:val="32"/>
          <w:szCs w:val="32"/>
          <w:highlight w:val="none"/>
          <w14:textFill>
            <w14:solidFill>
              <w14:schemeClr w14:val="tx1"/>
            </w14:solidFill>
          </w14:textFill>
        </w:rPr>
        <w:t>税</w:t>
      </w:r>
      <w:r>
        <w:rPr>
          <w:rFonts w:hint="eastAsia" w:ascii="仿宋" w:hAnsi="仿宋" w:eastAsia="仿宋" w:cs="仿宋"/>
          <w:color w:val="000000" w:themeColor="text1"/>
          <w:sz w:val="32"/>
          <w:szCs w:val="32"/>
          <w:highlight w:val="none"/>
          <w:lang w:eastAsia="zh-CN"/>
          <w14:textFill>
            <w14:solidFill>
              <w14:schemeClr w14:val="tx1"/>
            </w14:solidFill>
          </w14:textFill>
        </w:rPr>
        <w:t>收</w:t>
      </w:r>
      <w:r>
        <w:rPr>
          <w:rFonts w:hint="eastAsia" w:ascii="仿宋" w:hAnsi="仿宋" w:eastAsia="仿宋" w:cs="仿宋"/>
          <w:color w:val="000000" w:themeColor="text1"/>
          <w:sz w:val="32"/>
          <w:szCs w:val="32"/>
          <w:highlight w:val="none"/>
          <w14:textFill>
            <w14:solidFill>
              <w14:schemeClr w14:val="tx1"/>
            </w14:solidFill>
          </w14:textFill>
        </w:rPr>
        <w:t>，税务机关应当依法予以减免。</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第七十七条【营商环境法律服务】</w:t>
      </w:r>
      <w:r>
        <w:rPr>
          <w:rFonts w:hint="eastAsia" w:ascii="仿宋" w:hAnsi="仿宋" w:eastAsia="仿宋" w:cs="仿宋"/>
          <w:color w:val="000000" w:themeColor="text1"/>
          <w:sz w:val="32"/>
          <w:szCs w:val="32"/>
          <w:highlight w:val="none"/>
          <w:lang w:eastAsia="zh-CN"/>
          <w14:textFill>
            <w14:solidFill>
              <w14:schemeClr w14:val="tx1"/>
            </w14:solidFill>
          </w14:textFill>
        </w:rPr>
        <w:t>市司法行政部门应当整合律师、公证、司法鉴定、仲裁、调解、法律援助等公共法律服务资源，在劳动争议、知识产权、生态环境保护、金融、商事等领域创新法律服务内容、形式和供给模式，打造规模化、专业化、网络化、外向化的法律服务聚集区，为市场主体提供全面覆盖、便捷优质的法律服务。</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77" w:name="_Toc70090214"/>
      <w:bookmarkStart w:id="178" w:name="_Toc67919281"/>
      <w:r>
        <w:rPr>
          <w:rFonts w:hint="eastAsia" w:ascii="仿宋" w:hAnsi="仿宋" w:eastAsia="仿宋" w:cs="仿宋"/>
          <w:b/>
          <w:bCs/>
          <w:color w:val="000000" w:themeColor="text1"/>
          <w:sz w:val="32"/>
          <w:szCs w:val="32"/>
          <w:highlight w:val="none"/>
          <w:lang w:eastAsia="zh-CN"/>
          <w14:textFill>
            <w14:solidFill>
              <w14:schemeClr w14:val="tx1"/>
            </w14:solidFill>
          </w14:textFill>
        </w:rPr>
        <w:t>第七十八条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多元化</w:t>
      </w:r>
      <w:r>
        <w:rPr>
          <w:rFonts w:hint="eastAsia" w:ascii="仿宋" w:hAnsi="仿宋" w:eastAsia="仿宋" w:cs="仿宋"/>
          <w:b/>
          <w:bCs/>
          <w:color w:val="000000" w:themeColor="text1"/>
          <w:sz w:val="32"/>
          <w:szCs w:val="32"/>
          <w:highlight w:val="none"/>
          <w14:textFill>
            <w14:solidFill>
              <w14:schemeClr w14:val="tx1"/>
            </w14:solidFill>
          </w14:textFill>
        </w:rPr>
        <w:t>纠纷解决体系】</w:t>
      </w:r>
      <w:bookmarkEnd w:id="177"/>
      <w:bookmarkEnd w:id="178"/>
      <w:bookmarkStart w:id="179" w:name="_Toc70090215"/>
      <w:bookmarkStart w:id="180" w:name="_Toc67919283"/>
      <w:r>
        <w:rPr>
          <w:rFonts w:hint="eastAsia" w:ascii="仿宋" w:hAnsi="仿宋" w:eastAsia="仿宋" w:cs="仿宋"/>
          <w:color w:val="000000" w:themeColor="text1"/>
          <w:sz w:val="32"/>
          <w:szCs w:val="32"/>
          <w:highlight w:val="none"/>
          <w14:textFill>
            <w14:solidFill>
              <w14:schemeClr w14:val="tx1"/>
            </w14:solidFill>
          </w14:textFill>
        </w:rPr>
        <w:t>市、区人民政府及</w:t>
      </w:r>
      <w:r>
        <w:rPr>
          <w:rFonts w:hint="eastAsia" w:ascii="仿宋" w:hAnsi="仿宋" w:eastAsia="仿宋" w:cs="仿宋"/>
          <w:color w:val="000000" w:themeColor="text1"/>
          <w:sz w:val="32"/>
          <w:szCs w:val="32"/>
          <w:highlight w:val="none"/>
          <w:lang w:eastAsia="zh-CN"/>
          <w14:textFill>
            <w14:solidFill>
              <w14:schemeClr w14:val="tx1"/>
            </w14:solidFill>
          </w14:textFill>
        </w:rPr>
        <w:t>有关</w:t>
      </w:r>
      <w:r>
        <w:rPr>
          <w:rFonts w:hint="eastAsia" w:ascii="仿宋" w:hAnsi="仿宋" w:eastAsia="仿宋" w:cs="仿宋"/>
          <w:color w:val="000000" w:themeColor="text1"/>
          <w:sz w:val="32"/>
          <w:szCs w:val="32"/>
          <w:highlight w:val="none"/>
          <w14:textFill>
            <w14:solidFill>
              <w14:schemeClr w14:val="tx1"/>
            </w14:solidFill>
          </w14:textFill>
        </w:rPr>
        <w:t>部门、司法机关、仲裁机构应当建立调解、仲裁、行政复议、诉讼相衔接的纠纷解决机制，为市场主体提供多元化纠纷解决方式，依法公正处理涉及市场主体的各类民商事案件，有效解决生效裁判决定执行难问题，保障各类市场主体合法权益。</w:t>
      </w:r>
    </w:p>
    <w:bookmarkEnd w:id="179"/>
    <w:bookmarkEnd w:id="180"/>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b w:val="0"/>
          <w:bCs w:val="0"/>
          <w:sz w:val="32"/>
          <w:szCs w:val="32"/>
          <w:highlight w:val="none"/>
        </w:rPr>
      </w:pPr>
      <w:bookmarkStart w:id="181" w:name="_Toc70090216"/>
      <w:bookmarkStart w:id="182" w:name="_Toc67919284"/>
      <w:r>
        <w:rPr>
          <w:rFonts w:hint="eastAsia" w:ascii="黑体" w:hAnsi="黑体" w:eastAsia="黑体" w:cs="黑体"/>
          <w:b w:val="0"/>
          <w:bCs w:val="0"/>
          <w:sz w:val="32"/>
          <w:szCs w:val="32"/>
          <w:highlight w:val="none"/>
        </w:rPr>
        <w:t>第七章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监管执法环境</w:t>
      </w:r>
      <w:bookmarkEnd w:id="181"/>
      <w:bookmarkEnd w:id="182"/>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83" w:name="_Toc70090217"/>
      <w:bookmarkStart w:id="184" w:name="_Toc67919285"/>
      <w:r>
        <w:rPr>
          <w:rFonts w:hint="eastAsia" w:ascii="仿宋" w:hAnsi="仿宋" w:eastAsia="仿宋" w:cs="仿宋"/>
          <w:b/>
          <w:bCs/>
          <w:color w:val="000000" w:themeColor="text1"/>
          <w:sz w:val="32"/>
          <w:szCs w:val="32"/>
          <w:highlight w:val="none"/>
          <w:lang w:eastAsia="zh-CN"/>
          <w14:textFill>
            <w14:solidFill>
              <w14:schemeClr w14:val="tx1"/>
            </w14:solidFill>
          </w14:textFill>
        </w:rPr>
        <w:t>第七十九条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监管制度的建设与创新</w:t>
      </w:r>
      <w:r>
        <w:rPr>
          <w:rFonts w:hint="eastAsia" w:ascii="仿宋" w:hAnsi="仿宋" w:eastAsia="仿宋" w:cs="仿宋"/>
          <w:b/>
          <w:bCs/>
          <w:color w:val="000000" w:themeColor="text1"/>
          <w:sz w:val="32"/>
          <w:szCs w:val="32"/>
          <w:highlight w:val="none"/>
          <w14:textFill>
            <w14:solidFill>
              <w14:schemeClr w14:val="tx1"/>
            </w14:solidFill>
          </w14:textFill>
        </w:rPr>
        <w:t>】</w:t>
      </w:r>
      <w:bookmarkEnd w:id="183"/>
      <w:bookmarkEnd w:id="184"/>
      <w:r>
        <w:rPr>
          <w:rFonts w:hint="eastAsia" w:ascii="仿宋" w:hAnsi="仿宋" w:eastAsia="仿宋" w:cs="仿宋"/>
          <w:color w:val="000000" w:themeColor="text1"/>
          <w:sz w:val="32"/>
          <w:szCs w:val="32"/>
          <w:highlight w:val="none"/>
          <w14:textFill>
            <w14:solidFill>
              <w14:schemeClr w14:val="tx1"/>
            </w14:solidFill>
          </w14:textFill>
        </w:rPr>
        <w:t>市、区人民政府及有关部门应当依法履行监管职责，创新监管方式，</w:t>
      </w:r>
      <w:r>
        <w:rPr>
          <w:rFonts w:hint="eastAsia" w:ascii="仿宋" w:hAnsi="仿宋" w:eastAsia="仿宋" w:cs="仿宋"/>
          <w:color w:val="000000" w:themeColor="text1"/>
          <w:sz w:val="32"/>
          <w:szCs w:val="32"/>
          <w:highlight w:val="none"/>
          <w:lang w:eastAsia="zh-CN"/>
          <w14:textFill>
            <w14:solidFill>
              <w14:schemeClr w14:val="tx1"/>
            </w14:solidFill>
          </w14:textFill>
        </w:rPr>
        <w:t>推动</w:t>
      </w:r>
      <w:r>
        <w:rPr>
          <w:rFonts w:hint="eastAsia" w:ascii="仿宋" w:hAnsi="仿宋" w:eastAsia="仿宋" w:cs="仿宋"/>
          <w:color w:val="000000" w:themeColor="text1"/>
          <w:sz w:val="32"/>
          <w:szCs w:val="32"/>
          <w:highlight w:val="none"/>
          <w14:textFill>
            <w14:solidFill>
              <w14:schemeClr w14:val="tx1"/>
            </w14:solidFill>
          </w14:textFill>
        </w:rPr>
        <w:t>信用监管、综合监管，</w:t>
      </w:r>
      <w:r>
        <w:rPr>
          <w:rFonts w:hint="eastAsia" w:ascii="仿宋" w:hAnsi="仿宋" w:eastAsia="仿宋" w:cs="仿宋"/>
          <w:color w:val="000000" w:themeColor="text1"/>
          <w:sz w:val="32"/>
          <w:szCs w:val="32"/>
          <w:highlight w:val="none"/>
          <w:lang w:eastAsia="zh-CN"/>
          <w14:textFill>
            <w14:solidFill>
              <w14:schemeClr w14:val="tx1"/>
            </w14:solidFill>
          </w14:textFill>
        </w:rPr>
        <w:t>建立公平、统一、公开、透明的监管制度</w:t>
      </w:r>
      <w:r>
        <w:rPr>
          <w:rFonts w:hint="eastAsia" w:ascii="仿宋" w:hAnsi="仿宋" w:eastAsia="仿宋" w:cs="仿宋"/>
          <w:color w:val="000000" w:themeColor="text1"/>
          <w:sz w:val="32"/>
          <w:szCs w:val="32"/>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有关部门应当推进人工智能、大数据、区块链、移动互联网等现代信息技术的智能监管方式应用，推行远程监管、移动监管、预警防控等非现场监管。</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第八十</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监管事项</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有关部门应当明确本单位的监管事项、设定依据、监管对象、监管措施、处理方式等内容，并向社会公开。</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85" w:name="_Toc70090218"/>
      <w:r>
        <w:rPr>
          <w:rFonts w:hint="eastAsia" w:ascii="仿宋" w:hAnsi="仿宋" w:eastAsia="仿宋" w:cs="仿宋"/>
          <w:b/>
          <w:bCs/>
          <w:color w:val="000000" w:themeColor="text1"/>
          <w:sz w:val="32"/>
          <w:szCs w:val="32"/>
          <w:highlight w:val="none"/>
          <w:lang w:eastAsia="zh-CN"/>
          <w14:textFill>
            <w14:solidFill>
              <w14:schemeClr w14:val="tx1"/>
            </w14:solidFill>
          </w14:textFill>
        </w:rPr>
        <w:t>第八十一条</w:t>
      </w:r>
      <w:r>
        <w:rPr>
          <w:rFonts w:hint="eastAsia" w:ascii="仿宋" w:hAnsi="仿宋" w:eastAsia="仿宋" w:cs="仿宋"/>
          <w:b/>
          <w:bCs/>
          <w:color w:val="000000" w:themeColor="text1"/>
          <w:sz w:val="32"/>
          <w:szCs w:val="32"/>
          <w:highlight w:val="none"/>
          <w14:textFill>
            <w14:solidFill>
              <w14:schemeClr w14:val="tx1"/>
            </w14:solidFill>
          </w14:textFill>
        </w:rPr>
        <w:t>【双随机</w:t>
      </w:r>
      <w:r>
        <w:rPr>
          <w:rFonts w:hint="eastAsia" w:ascii="仿宋" w:hAnsi="仿宋" w:eastAsia="仿宋" w:cs="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sz w:val="32"/>
          <w:szCs w:val="32"/>
          <w:highlight w:val="none"/>
          <w14:textFill>
            <w14:solidFill>
              <w14:schemeClr w14:val="tx1"/>
            </w14:solidFill>
          </w14:textFill>
        </w:rPr>
        <w:t>一公开】</w:t>
      </w:r>
      <w:bookmarkEnd w:id="185"/>
      <w:r>
        <w:rPr>
          <w:rFonts w:hint="eastAsia" w:ascii="仿宋" w:hAnsi="仿宋" w:eastAsia="仿宋" w:cs="仿宋"/>
          <w:color w:val="000000" w:themeColor="text1"/>
          <w:sz w:val="32"/>
          <w:szCs w:val="32"/>
          <w:highlight w:val="none"/>
          <w:lang w:eastAsia="zh-CN"/>
          <w14:textFill>
            <w14:solidFill>
              <w14:schemeClr w14:val="tx1"/>
            </w14:solidFill>
          </w14:textFill>
        </w:rPr>
        <w:t>承担市场监管职能的有关部门应当依法开展“双随机、一公开”监管，除直接涉及</w:t>
      </w:r>
      <w:r>
        <w:rPr>
          <w:rFonts w:hint="eastAsia" w:ascii="仿宋" w:hAnsi="仿宋" w:eastAsia="仿宋" w:cs="仿宋"/>
          <w:color w:val="000000" w:themeColor="text1"/>
          <w:sz w:val="32"/>
          <w:szCs w:val="32"/>
          <w:highlight w:val="none"/>
          <w14:textFill>
            <w14:solidFill>
              <w14:schemeClr w14:val="tx1"/>
            </w14:solidFill>
          </w14:textFill>
        </w:rPr>
        <w:t>国家安全、公共安全和人民群众生命健康等</w:t>
      </w:r>
      <w:r>
        <w:rPr>
          <w:rFonts w:hint="eastAsia" w:ascii="仿宋" w:hAnsi="仿宋" w:eastAsia="仿宋" w:cs="仿宋"/>
          <w:color w:val="000000" w:themeColor="text1"/>
          <w:sz w:val="32"/>
          <w:szCs w:val="32"/>
          <w:highlight w:val="none"/>
          <w:lang w:eastAsia="zh-CN"/>
          <w14:textFill>
            <w14:solidFill>
              <w14:schemeClr w14:val="tx1"/>
            </w14:solidFill>
          </w14:textFill>
        </w:rPr>
        <w:t>行业、领域</w:t>
      </w:r>
      <w:r>
        <w:rPr>
          <w:rFonts w:hint="eastAsia" w:ascii="仿宋" w:hAnsi="仿宋" w:eastAsia="仿宋" w:cs="仿宋"/>
          <w:color w:val="000000" w:themeColor="text1"/>
          <w:sz w:val="32"/>
          <w:szCs w:val="32"/>
          <w:highlight w:val="none"/>
          <w14:textFill>
            <w14:solidFill>
              <w14:schemeClr w14:val="tx1"/>
            </w14:solidFill>
          </w14:textFill>
        </w:rPr>
        <w:t>以外，实现“双随机</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一公开”</w:t>
      </w:r>
      <w:r>
        <w:rPr>
          <w:rFonts w:hint="eastAsia" w:ascii="仿宋" w:hAnsi="仿宋" w:eastAsia="仿宋" w:cs="仿宋"/>
          <w:color w:val="000000" w:themeColor="text1"/>
          <w:sz w:val="32"/>
          <w:szCs w:val="32"/>
          <w:highlight w:val="none"/>
          <w:lang w:eastAsia="zh-CN"/>
          <w14:textFill>
            <w14:solidFill>
              <w14:schemeClr w14:val="tx1"/>
            </w14:solidFill>
          </w14:textFill>
        </w:rPr>
        <w:t>监管</w:t>
      </w:r>
      <w:r>
        <w:rPr>
          <w:rFonts w:hint="eastAsia" w:ascii="仿宋" w:hAnsi="仿宋" w:eastAsia="仿宋" w:cs="仿宋"/>
          <w:color w:val="000000" w:themeColor="text1"/>
          <w:sz w:val="32"/>
          <w:szCs w:val="32"/>
          <w:highlight w:val="none"/>
          <w14:textFill>
            <w14:solidFill>
              <w14:schemeClr w14:val="tx1"/>
            </w14:solidFill>
          </w14:textFill>
        </w:rPr>
        <w:t>方式全覆盖</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随机抽取检查对象、随机选派执法检查人员</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抽查事项及查处结果及时向社会公开。</w:t>
      </w:r>
      <w:r>
        <w:rPr>
          <w:rFonts w:hint="eastAsia" w:ascii="仿宋" w:hAnsi="仿宋" w:eastAsia="仿宋" w:cs="仿宋"/>
          <w:color w:val="000000" w:themeColor="text1"/>
          <w:sz w:val="32"/>
          <w:szCs w:val="32"/>
          <w:highlight w:val="none"/>
          <w:lang w:eastAsia="zh-CN"/>
          <w14:textFill>
            <w14:solidFill>
              <w14:schemeClr w14:val="tx1"/>
            </w14:solidFill>
          </w14:textFill>
        </w:rPr>
        <w:t>有关行政主管部门应当健全随机抽查系统，完善相关规则，确保公平监管。</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第八十二条【重点监管】</w:t>
      </w:r>
      <w:r>
        <w:rPr>
          <w:rFonts w:hint="eastAsia" w:ascii="仿宋" w:hAnsi="仿宋" w:eastAsia="仿宋" w:cs="仿宋"/>
          <w:color w:val="000000" w:themeColor="text1"/>
          <w:sz w:val="32"/>
          <w:szCs w:val="32"/>
          <w:highlight w:val="none"/>
          <w:lang w:val="en-US" w:eastAsia="zh-CN"/>
          <w14:textFill>
            <w14:solidFill>
              <w14:schemeClr w14:val="tx1"/>
            </w14:solidFill>
          </w14:textFill>
        </w:rPr>
        <w:t>对环境保护、食品药品安全、产品质量安全、安全生产等直接涉及公共安全和人民群众生命健康的特殊行业、重点领域，依法实行全覆盖、全过程重点监管。</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86" w:name="_Toc67499061"/>
      <w:bookmarkEnd w:id="186"/>
      <w:bookmarkStart w:id="187" w:name="_Toc67499060"/>
      <w:bookmarkEnd w:id="187"/>
      <w:bookmarkStart w:id="188" w:name="_Toc67499063"/>
      <w:bookmarkEnd w:id="188"/>
      <w:bookmarkStart w:id="189" w:name="_Toc67919287"/>
      <w:bookmarkStart w:id="190" w:name="_Toc70090220"/>
      <w:r>
        <w:rPr>
          <w:rFonts w:hint="eastAsia" w:ascii="仿宋" w:hAnsi="仿宋" w:eastAsia="仿宋" w:cs="仿宋"/>
          <w:b/>
          <w:bCs/>
          <w:color w:val="000000" w:themeColor="text1"/>
          <w:sz w:val="32"/>
          <w:szCs w:val="32"/>
          <w:highlight w:val="none"/>
          <w:lang w:eastAsia="zh-CN"/>
          <w14:textFill>
            <w14:solidFill>
              <w14:schemeClr w14:val="tx1"/>
            </w14:solidFill>
          </w14:textFill>
        </w:rPr>
        <w:t>第八十三条</w:t>
      </w:r>
      <w:r>
        <w:rPr>
          <w:rFonts w:hint="eastAsia" w:ascii="仿宋" w:hAnsi="仿宋" w:eastAsia="仿宋" w:cs="仿宋"/>
          <w:b/>
          <w:bCs/>
          <w:color w:val="000000" w:themeColor="text1"/>
          <w:sz w:val="32"/>
          <w:szCs w:val="32"/>
          <w:highlight w:val="none"/>
          <w14:textFill>
            <w14:solidFill>
              <w14:schemeClr w14:val="tx1"/>
            </w14:solidFill>
          </w14:textFill>
        </w:rPr>
        <w:t>【包容审慎监管】</w:t>
      </w:r>
      <w:bookmarkEnd w:id="189"/>
      <w:bookmarkEnd w:id="190"/>
      <w:r>
        <w:rPr>
          <w:rFonts w:hint="eastAsia" w:ascii="仿宋" w:hAnsi="仿宋" w:eastAsia="仿宋" w:cs="仿宋"/>
          <w:color w:val="000000" w:themeColor="text1"/>
          <w:sz w:val="32"/>
          <w:szCs w:val="32"/>
          <w:highlight w:val="none"/>
          <w:lang w:eastAsia="zh-CN"/>
          <w14:textFill>
            <w14:solidFill>
              <w14:schemeClr w14:val="tx1"/>
            </w14:solidFill>
          </w14:textFill>
        </w:rPr>
        <w:t>本市</w:t>
      </w:r>
      <w:r>
        <w:rPr>
          <w:rFonts w:hint="eastAsia" w:ascii="仿宋" w:hAnsi="仿宋" w:eastAsia="仿宋" w:cs="仿宋"/>
          <w:color w:val="000000" w:themeColor="text1"/>
          <w:sz w:val="32"/>
          <w:szCs w:val="32"/>
          <w:highlight w:val="none"/>
          <w14:textFill>
            <w14:solidFill>
              <w14:schemeClr w14:val="tx1"/>
            </w14:solidFill>
          </w14:textFill>
        </w:rPr>
        <w:t>按照鼓励创新、平等保护原则，对新技术、新产业、新业态、新模式等实行包容审慎监管，针对其性质、特点分类实行相应的监管规则和标准</w:t>
      </w:r>
      <w:r>
        <w:rPr>
          <w:rFonts w:hint="eastAsia" w:ascii="仿宋" w:hAnsi="仿宋" w:eastAsia="仿宋" w:cs="仿宋"/>
          <w:color w:val="000000" w:themeColor="text1"/>
          <w:sz w:val="32"/>
          <w:szCs w:val="32"/>
          <w:highlight w:val="none"/>
          <w:lang w:eastAsia="zh-CN"/>
          <w14:textFill>
            <w14:solidFill>
              <w14:schemeClr w14:val="tx1"/>
            </w14:solidFill>
          </w14:textFill>
        </w:rPr>
        <w:t>，留足发展空间，同时确保质量和安全，不得简单化予以禁止或者不予监管。</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建立健全市场主体轻微违法违规经营行为从轻、减轻或者不予行政处罚制度，明确从轻、减轻或者不予行政处罚的经营行为的具体情形。</w:t>
      </w:r>
      <w:bookmarkStart w:id="191" w:name="_Toc70090219"/>
      <w:bookmarkStart w:id="192" w:name="_Toc67919286"/>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第八十四条</w:t>
      </w:r>
      <w:r>
        <w:rPr>
          <w:rFonts w:hint="eastAsia" w:ascii="仿宋" w:hAnsi="仿宋" w:eastAsia="仿宋" w:cs="仿宋"/>
          <w:b/>
          <w:bCs/>
          <w:color w:val="000000" w:themeColor="text1"/>
          <w:sz w:val="32"/>
          <w:szCs w:val="32"/>
          <w:highlight w:val="none"/>
          <w14:textFill>
            <w14:solidFill>
              <w14:schemeClr w14:val="tx1"/>
            </w14:solidFill>
          </w14:textFill>
        </w:rPr>
        <w:t>【信用分级分类监管】</w:t>
      </w:r>
      <w:bookmarkEnd w:id="191"/>
      <w:bookmarkEnd w:id="192"/>
      <w:r>
        <w:rPr>
          <w:rFonts w:hint="eastAsia" w:ascii="仿宋" w:hAnsi="仿宋" w:eastAsia="仿宋" w:cs="仿宋"/>
          <w:color w:val="000000" w:themeColor="text1"/>
          <w:sz w:val="32"/>
          <w:szCs w:val="32"/>
          <w:highlight w:val="none"/>
          <w:lang w:eastAsia="zh-CN"/>
          <w14:textFill>
            <w14:solidFill>
              <w14:schemeClr w14:val="tx1"/>
            </w14:solidFill>
          </w14:textFill>
        </w:rPr>
        <w:t>市、区人民政府及有关部门应当推行</w:t>
      </w:r>
      <w:r>
        <w:rPr>
          <w:rFonts w:hint="eastAsia" w:ascii="仿宋" w:hAnsi="仿宋" w:eastAsia="仿宋" w:cs="仿宋"/>
          <w:color w:val="000000" w:themeColor="text1"/>
          <w:sz w:val="32"/>
          <w:szCs w:val="32"/>
          <w:highlight w:val="none"/>
          <w14:textFill>
            <w14:solidFill>
              <w14:schemeClr w14:val="tx1"/>
            </w14:solidFill>
          </w14:textFill>
        </w:rPr>
        <w:t>以信用为基础的分级分类监管制度</w:t>
      </w:r>
      <w:r>
        <w:rPr>
          <w:rFonts w:hint="eastAsia" w:ascii="仿宋" w:hAnsi="仿宋" w:eastAsia="仿宋" w:cs="仿宋"/>
          <w:color w:val="000000" w:themeColor="text1"/>
          <w:sz w:val="32"/>
          <w:szCs w:val="32"/>
          <w:highlight w:val="none"/>
          <w:lang w:eastAsia="zh-CN"/>
          <w14:textFill>
            <w14:solidFill>
              <w14:schemeClr w14:val="tx1"/>
            </w14:solidFill>
          </w14:textFill>
        </w:rPr>
        <w:t>，完善信用评价机制和分类监管标准，开展信用监测预警，针对不同信用状况的市场主体采取差异化监管措施，</w:t>
      </w:r>
      <w:r>
        <w:rPr>
          <w:rFonts w:hint="eastAsia" w:ascii="仿宋" w:hAnsi="仿宋" w:eastAsia="仿宋" w:cs="仿宋"/>
          <w:color w:val="000000" w:themeColor="text1"/>
          <w:sz w:val="32"/>
          <w:szCs w:val="32"/>
          <w:highlight w:val="none"/>
          <w14:textFill>
            <w14:solidFill>
              <w14:schemeClr w14:val="tx1"/>
            </w14:solidFill>
          </w14:textFill>
        </w:rPr>
        <w:t>对</w:t>
      </w:r>
      <w:r>
        <w:rPr>
          <w:rFonts w:hint="eastAsia" w:ascii="仿宋" w:hAnsi="仿宋" w:eastAsia="仿宋" w:cs="仿宋"/>
          <w:color w:val="000000" w:themeColor="text1"/>
          <w:sz w:val="32"/>
          <w:szCs w:val="32"/>
          <w:highlight w:val="none"/>
          <w:lang w:eastAsia="zh-CN"/>
          <w14:textFill>
            <w14:solidFill>
              <w14:schemeClr w14:val="tx1"/>
            </w14:solidFill>
          </w14:textFill>
        </w:rPr>
        <w:t>信用情况良好</w:t>
      </w:r>
      <w:r>
        <w:rPr>
          <w:rFonts w:hint="eastAsia" w:ascii="仿宋" w:hAnsi="仿宋" w:eastAsia="仿宋" w:cs="仿宋"/>
          <w:color w:val="000000" w:themeColor="text1"/>
          <w:sz w:val="32"/>
          <w:szCs w:val="32"/>
          <w:highlight w:val="none"/>
          <w14:textFill>
            <w14:solidFill>
              <w14:schemeClr w14:val="tx1"/>
            </w14:solidFill>
          </w14:textFill>
        </w:rPr>
        <w:t>的监管对象，应当减少检查比例和频次；对失信违法的监管对象，应当提高检查比例和频次。</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第八十五</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条【联合检查】</w:t>
      </w:r>
      <w:r>
        <w:rPr>
          <w:rFonts w:hint="eastAsia" w:ascii="仿宋" w:hAnsi="仿宋" w:eastAsia="仿宋" w:cs="仿宋"/>
          <w:color w:val="000000" w:themeColor="text1"/>
          <w:sz w:val="32"/>
          <w:szCs w:val="32"/>
          <w:highlight w:val="none"/>
          <w14:textFill>
            <w14:solidFill>
              <w14:schemeClr w14:val="tx1"/>
            </w14:solidFill>
          </w14:textFill>
        </w:rPr>
        <w:t>行政执法机关应当根据监管需求，加强协作，明确联动程序，提高跨部门、跨领域联合检查效能。需要在特定区域或者时段对监管对象实施不同监管部门多项监管内容检查的，应当经区级以上人民政府批准，采用联合检查的方式，由牵头部门组织、多部门参加，在同一时间</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针对同一对象实施一次检查，完成所有检查内容。</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同一行政执法机关同一时期对同一检查对象实施多项检查的，应当合并进行。除重点监管企业</w:t>
      </w:r>
      <w:r>
        <w:rPr>
          <w:rFonts w:hint="eastAsia" w:ascii="仿宋" w:hAnsi="仿宋" w:eastAsia="仿宋" w:cs="仿宋"/>
          <w:color w:val="000000" w:themeColor="text1"/>
          <w:sz w:val="32"/>
          <w:szCs w:val="32"/>
          <w:highlight w:val="none"/>
          <w:lang w:eastAsia="zh-CN"/>
          <w14:textFill>
            <w14:solidFill>
              <w14:schemeClr w14:val="tx1"/>
            </w14:solidFill>
          </w14:textFill>
        </w:rPr>
        <w:t>及被列入严重失信名单的企业</w:t>
      </w:r>
      <w:r>
        <w:rPr>
          <w:rFonts w:hint="eastAsia" w:ascii="仿宋" w:hAnsi="仿宋" w:eastAsia="仿宋" w:cs="仿宋"/>
          <w:color w:val="000000" w:themeColor="text1"/>
          <w:sz w:val="32"/>
          <w:szCs w:val="32"/>
          <w:highlight w:val="none"/>
          <w14:textFill>
            <w14:solidFill>
              <w14:schemeClr w14:val="tx1"/>
            </w14:solidFill>
          </w14:textFill>
        </w:rPr>
        <w:t>，同一系统上级部门已</w:t>
      </w:r>
      <w:r>
        <w:rPr>
          <w:rFonts w:hint="eastAsia" w:ascii="仿宋" w:hAnsi="仿宋" w:eastAsia="仿宋" w:cs="仿宋"/>
          <w:color w:val="000000" w:themeColor="text1"/>
          <w:sz w:val="32"/>
          <w:szCs w:val="32"/>
          <w:highlight w:val="none"/>
          <w:lang w:eastAsia="zh-CN"/>
          <w14:textFill>
            <w14:solidFill>
              <w14:schemeClr w14:val="tx1"/>
            </w14:solidFill>
          </w14:textFill>
        </w:rPr>
        <w:t>经</w:t>
      </w:r>
      <w:r>
        <w:rPr>
          <w:rFonts w:hint="eastAsia" w:ascii="仿宋" w:hAnsi="仿宋" w:eastAsia="仿宋" w:cs="仿宋"/>
          <w:color w:val="000000" w:themeColor="text1"/>
          <w:sz w:val="32"/>
          <w:szCs w:val="32"/>
          <w:highlight w:val="none"/>
          <w14:textFill>
            <w14:solidFill>
              <w14:schemeClr w14:val="tx1"/>
            </w14:solidFill>
          </w14:textFill>
        </w:rPr>
        <w:t>对同一企业</w:t>
      </w:r>
      <w:r>
        <w:rPr>
          <w:rFonts w:hint="eastAsia" w:ascii="仿宋" w:hAnsi="仿宋" w:eastAsia="仿宋" w:cs="仿宋"/>
          <w:color w:val="000000" w:themeColor="text1"/>
          <w:sz w:val="32"/>
          <w:szCs w:val="32"/>
          <w:highlight w:val="none"/>
          <w:lang w:eastAsia="zh-CN"/>
          <w14:textFill>
            <w14:solidFill>
              <w14:schemeClr w14:val="tx1"/>
            </w14:solidFill>
          </w14:textFill>
        </w:rPr>
        <w:t>实施</w:t>
      </w:r>
      <w:r>
        <w:rPr>
          <w:rFonts w:hint="eastAsia" w:ascii="仿宋" w:hAnsi="仿宋" w:eastAsia="仿宋" w:cs="仿宋"/>
          <w:color w:val="000000" w:themeColor="text1"/>
          <w:sz w:val="32"/>
          <w:szCs w:val="32"/>
          <w:highlight w:val="none"/>
          <w14:textFill>
            <w14:solidFill>
              <w14:schemeClr w14:val="tx1"/>
            </w14:solidFill>
          </w14:textFill>
        </w:rPr>
        <w:t>检查的，</w:t>
      </w:r>
      <w:r>
        <w:rPr>
          <w:rFonts w:hint="eastAsia" w:ascii="仿宋" w:hAnsi="仿宋" w:eastAsia="仿宋" w:cs="仿宋"/>
          <w:color w:val="000000" w:themeColor="text1"/>
          <w:sz w:val="32"/>
          <w:szCs w:val="32"/>
          <w:highlight w:val="none"/>
          <w:lang w:eastAsia="zh-CN"/>
          <w14:textFill>
            <w14:solidFill>
              <w14:schemeClr w14:val="tx1"/>
            </w14:solidFill>
          </w14:textFill>
        </w:rPr>
        <w:t>同一时期</w:t>
      </w:r>
      <w:r>
        <w:rPr>
          <w:rFonts w:hint="eastAsia" w:ascii="仿宋" w:hAnsi="仿宋" w:eastAsia="仿宋" w:cs="仿宋"/>
          <w:color w:val="000000" w:themeColor="text1"/>
          <w:sz w:val="32"/>
          <w:szCs w:val="32"/>
          <w:highlight w:val="none"/>
          <w14:textFill>
            <w14:solidFill>
              <w14:schemeClr w14:val="tx1"/>
            </w14:solidFill>
          </w14:textFill>
        </w:rPr>
        <w:t>下级部门</w:t>
      </w:r>
      <w:r>
        <w:rPr>
          <w:rFonts w:hint="eastAsia" w:ascii="仿宋" w:hAnsi="仿宋" w:eastAsia="仿宋" w:cs="仿宋"/>
          <w:color w:val="000000" w:themeColor="text1"/>
          <w:sz w:val="32"/>
          <w:szCs w:val="32"/>
          <w:highlight w:val="none"/>
          <w:lang w:eastAsia="zh-CN"/>
          <w14:textFill>
            <w14:solidFill>
              <w14:schemeClr w14:val="tx1"/>
            </w14:solidFill>
          </w14:textFill>
        </w:rPr>
        <w:t>对同一事项</w:t>
      </w:r>
      <w:r>
        <w:rPr>
          <w:rFonts w:hint="eastAsia" w:ascii="仿宋" w:hAnsi="仿宋" w:eastAsia="仿宋" w:cs="仿宋"/>
          <w:color w:val="000000" w:themeColor="text1"/>
          <w:sz w:val="32"/>
          <w:szCs w:val="32"/>
          <w:highlight w:val="none"/>
          <w14:textFill>
            <w14:solidFill>
              <w14:schemeClr w14:val="tx1"/>
            </w14:solidFill>
          </w14:textFill>
        </w:rPr>
        <w:t>原则上不得再次实施。</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193" w:name="_Toc67919290"/>
      <w:bookmarkStart w:id="194" w:name="_Toc70090222"/>
      <w:r>
        <w:rPr>
          <w:rFonts w:hint="eastAsia" w:ascii="仿宋" w:hAnsi="仿宋" w:eastAsia="仿宋" w:cs="仿宋"/>
          <w:b/>
          <w:bCs/>
          <w:color w:val="000000" w:themeColor="text1"/>
          <w:sz w:val="32"/>
          <w:szCs w:val="32"/>
          <w:highlight w:val="none"/>
          <w:lang w:eastAsia="zh-CN"/>
          <w14:textFill>
            <w14:solidFill>
              <w14:schemeClr w14:val="tx1"/>
            </w14:solidFill>
          </w14:textFill>
        </w:rPr>
        <w:t>第八十六条</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综合执法</w:t>
      </w:r>
      <w:r>
        <w:rPr>
          <w:rFonts w:hint="eastAsia" w:ascii="仿宋" w:hAnsi="仿宋" w:eastAsia="仿宋" w:cs="仿宋"/>
          <w:b/>
          <w:bCs/>
          <w:color w:val="000000" w:themeColor="text1"/>
          <w:sz w:val="32"/>
          <w:szCs w:val="32"/>
          <w:highlight w:val="none"/>
          <w14:textFill>
            <w14:solidFill>
              <w14:schemeClr w14:val="tx1"/>
            </w14:solidFill>
          </w14:textFill>
        </w:rPr>
        <w:t>】</w:t>
      </w:r>
      <w:bookmarkEnd w:id="193"/>
      <w:bookmarkEnd w:id="194"/>
      <w:r>
        <w:rPr>
          <w:rFonts w:hint="eastAsia" w:ascii="仿宋" w:hAnsi="仿宋" w:eastAsia="仿宋" w:cs="仿宋"/>
          <w:color w:val="000000" w:themeColor="text1"/>
          <w:sz w:val="32"/>
          <w:szCs w:val="32"/>
          <w:highlight w:val="none"/>
          <w:lang w:eastAsia="zh-CN"/>
          <w14:textFill>
            <w14:solidFill>
              <w14:schemeClr w14:val="tx1"/>
            </w14:solidFill>
          </w14:textFill>
        </w:rPr>
        <w:t>本市在城市管理、市场监管、生态环境、文化市场、交通运输、应急管理、农业等领域依法推进综合行政执法，相对集中行政处罚权。</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市、区人民政府及其有关部门应当统筹配置行政执法职能和执法资源，整合精简执法队伍，减少执法主体和执法层级，提高行政执法能力，建立健全跨部门行政执法联动响应和协作机制，推进违法线索互联、监管标准互通、处理结果互认。</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bookmarkStart w:id="195" w:name="_Toc70090223"/>
      <w:r>
        <w:rPr>
          <w:rFonts w:hint="eastAsia" w:ascii="仿宋" w:hAnsi="仿宋" w:eastAsia="仿宋" w:cs="仿宋"/>
          <w:b/>
          <w:bCs/>
          <w:color w:val="000000" w:themeColor="text1"/>
          <w:sz w:val="32"/>
          <w:szCs w:val="32"/>
          <w:highlight w:val="none"/>
          <w:lang w:eastAsia="zh-CN"/>
          <w14:textFill>
            <w14:solidFill>
              <w14:schemeClr w14:val="tx1"/>
            </w14:solidFill>
          </w14:textFill>
        </w:rPr>
        <w:t>第八十七条</w:t>
      </w:r>
      <w:r>
        <w:rPr>
          <w:rFonts w:hint="eastAsia" w:ascii="仿宋" w:hAnsi="仿宋" w:eastAsia="仿宋" w:cs="仿宋"/>
          <w:b/>
          <w:bCs/>
          <w:color w:val="000000" w:themeColor="text1"/>
          <w:sz w:val="32"/>
          <w:szCs w:val="32"/>
          <w:highlight w:val="none"/>
          <w14:textFill>
            <w14:solidFill>
              <w14:schemeClr w14:val="tx1"/>
            </w14:solidFill>
          </w14:textFill>
        </w:rPr>
        <w:t>【规范自由裁量权】</w:t>
      </w:r>
      <w:bookmarkEnd w:id="195"/>
      <w:r>
        <w:rPr>
          <w:rFonts w:hint="eastAsia" w:ascii="仿宋" w:hAnsi="仿宋" w:eastAsia="仿宋" w:cs="仿宋"/>
          <w:color w:val="000000" w:themeColor="text1"/>
          <w:sz w:val="32"/>
          <w:szCs w:val="32"/>
          <w:highlight w:val="none"/>
          <w:lang w:val="en-US" w:eastAsia="zh-CN"/>
          <w14:textFill>
            <w14:solidFill>
              <w14:schemeClr w14:val="tx1"/>
            </w14:solidFill>
          </w14:textFill>
        </w:rPr>
        <w:t>市人民政府有关部门应当按照规定科学规范行政处罚裁量权，对行政处罚裁量基准实行动态管理，根据法律、法规、规章等调整情况和执法实践，及时制定、修订、废止行政处罚权裁量基准。行政执法单位应当按照本市有关规定，规范适用行政处罚裁量权基准。</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第八十八条【慎用行政强制措施】</w:t>
      </w:r>
      <w:r>
        <w:rPr>
          <w:rFonts w:hint="eastAsia" w:ascii="仿宋" w:hAnsi="仿宋" w:eastAsia="仿宋" w:cs="仿宋"/>
          <w:color w:val="000000" w:themeColor="text1"/>
          <w:sz w:val="32"/>
          <w:szCs w:val="32"/>
          <w:highlight w:val="none"/>
          <w:lang w:val="en-US" w:eastAsia="zh-CN"/>
          <w14:textFill>
            <w14:solidFill>
              <w14:schemeClr w14:val="tx1"/>
            </w14:solidFill>
          </w14:textFill>
        </w:rPr>
        <w:t>行政机关采用非强制手段和措施可以达到行政管理目的的，不得实施行政强制措施。</w:t>
      </w:r>
    </w:p>
    <w:p>
      <w:pPr>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行政机关不得随意采取行政强制措施要求市场主体配合实施行政管理。除法律、法规另有规定外，不得采取要求公用企事业单位停止供水、供电、供气等方式促使市场主体履行相关行政决定。</w:t>
      </w:r>
    </w:p>
    <w:p>
      <w:pPr>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196" w:name="_Toc70090224"/>
      <w:bookmarkStart w:id="197" w:name="_Toc67919291"/>
      <w:r>
        <w:rPr>
          <w:rFonts w:hint="eastAsia" w:ascii="仿宋" w:hAnsi="仿宋" w:eastAsia="仿宋" w:cs="仿宋"/>
          <w:b/>
          <w:bCs/>
          <w:color w:val="000000" w:themeColor="text1"/>
          <w:sz w:val="32"/>
          <w:szCs w:val="32"/>
          <w:highlight w:val="none"/>
          <w:lang w:eastAsia="zh-CN"/>
          <w14:textFill>
            <w14:solidFill>
              <w14:schemeClr w14:val="tx1"/>
            </w14:solidFill>
          </w14:textFill>
        </w:rPr>
        <w:t>第八十九条</w:t>
      </w:r>
      <w:r>
        <w:rPr>
          <w:rFonts w:hint="eastAsia" w:ascii="仿宋" w:hAnsi="仿宋" w:eastAsia="仿宋" w:cs="仿宋"/>
          <w:b/>
          <w:bCs/>
          <w:color w:val="000000" w:themeColor="text1"/>
          <w:sz w:val="32"/>
          <w:szCs w:val="32"/>
          <w:highlight w:val="none"/>
          <w14:textFill>
            <w14:solidFill>
              <w14:schemeClr w14:val="tx1"/>
            </w14:solidFill>
          </w14:textFill>
        </w:rPr>
        <w:t>【执法监督】</w:t>
      </w:r>
      <w:bookmarkEnd w:id="196"/>
      <w:bookmarkEnd w:id="197"/>
      <w:r>
        <w:rPr>
          <w:rFonts w:hint="eastAsia" w:ascii="仿宋" w:hAnsi="仿宋" w:eastAsia="仿宋" w:cs="仿宋"/>
          <w:color w:val="000000" w:themeColor="text1"/>
          <w:sz w:val="32"/>
          <w:szCs w:val="32"/>
          <w:highlight w:val="none"/>
          <w14:textFill>
            <w14:solidFill>
              <w14:schemeClr w14:val="tx1"/>
            </w14:solidFill>
          </w14:textFill>
        </w:rPr>
        <w:t>市、区人民政府应当加强行政执法监督，防止和纠正违法或者不当的行政执法行为，督促有关部门依法履行职责，切实保障市场主体的合法权益。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b w:val="0"/>
          <w:bCs w:val="0"/>
          <w:sz w:val="32"/>
          <w:szCs w:val="32"/>
          <w:highlight w:val="none"/>
          <w:lang w:eastAsia="zh-CN"/>
        </w:rPr>
      </w:pPr>
      <w:bookmarkStart w:id="198" w:name="_Toc70090238"/>
      <w:bookmarkStart w:id="199" w:name="_Toc67919309"/>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八</w:t>
      </w:r>
      <w:r>
        <w:rPr>
          <w:rFonts w:hint="eastAsia" w:ascii="黑体" w:hAnsi="黑体" w:eastAsia="黑体" w:cs="黑体"/>
          <w:b w:val="0"/>
          <w:bCs w:val="0"/>
          <w:sz w:val="32"/>
          <w:szCs w:val="32"/>
          <w:highlight w:val="none"/>
        </w:rPr>
        <w:t>章</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附</w:t>
      </w:r>
      <w:bookmarkEnd w:id="198"/>
      <w:bookmarkEnd w:id="199"/>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lang w:eastAsia="zh-CN"/>
        </w:rPr>
        <w:t>则</w:t>
      </w:r>
    </w:p>
    <w:p>
      <w:pPr>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bookmarkStart w:id="200" w:name="_Toc70090240"/>
      <w:bookmarkStart w:id="201" w:name="_Toc67919311"/>
      <w:r>
        <w:rPr>
          <w:rFonts w:hint="eastAsia" w:ascii="仿宋" w:hAnsi="仿宋" w:eastAsia="仿宋" w:cs="仿宋"/>
          <w:b/>
          <w:bCs/>
          <w:color w:val="000000" w:themeColor="text1"/>
          <w:sz w:val="32"/>
          <w:szCs w:val="32"/>
          <w:highlight w:val="none"/>
          <w:lang w:eastAsia="zh-CN"/>
          <w14:textFill>
            <w14:solidFill>
              <w14:schemeClr w14:val="tx1"/>
            </w14:solidFill>
          </w14:textFill>
        </w:rPr>
        <w:t>第九十条</w:t>
      </w:r>
      <w:r>
        <w:rPr>
          <w:rFonts w:hint="eastAsia" w:ascii="仿宋" w:hAnsi="仿宋" w:eastAsia="仿宋" w:cs="仿宋"/>
          <w:b/>
          <w:bCs/>
          <w:color w:val="000000" w:themeColor="text1"/>
          <w:sz w:val="32"/>
          <w:szCs w:val="32"/>
          <w:highlight w:val="none"/>
          <w14:textFill>
            <w14:solidFill>
              <w14:schemeClr w14:val="tx1"/>
            </w14:solidFill>
          </w14:textFill>
        </w:rPr>
        <w:t>【实施时间】</w:t>
      </w:r>
      <w:bookmarkEnd w:id="200"/>
      <w:bookmarkEnd w:id="201"/>
      <w:r>
        <w:rPr>
          <w:rFonts w:hint="eastAsia" w:ascii="仿宋" w:hAnsi="仿宋" w:eastAsia="仿宋" w:cs="仿宋"/>
          <w:color w:val="000000" w:themeColor="text1"/>
          <w:sz w:val="32"/>
          <w:szCs w:val="32"/>
          <w:highlight w:val="none"/>
          <w:lang w:eastAsia="zh-CN"/>
          <w14:textFill>
            <w14:solidFill>
              <w14:schemeClr w14:val="tx1"/>
            </w14:solidFill>
          </w14:textFill>
        </w:rPr>
        <w:t>本条例自</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年  月  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西文正文)">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943674"/>
    </w:sdtPr>
    <w:sdtEndPr>
      <w:rPr>
        <w:rFonts w:ascii="Times New Roman" w:hAnsi="Times New Roman" w:cs="Times New Roman"/>
      </w:rPr>
    </w:sdtEndPr>
    <w:sdtContent>
      <w:p>
        <w:pPr>
          <w:pStyle w:val="1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53</w:t>
        </w:r>
        <w:r>
          <w:rPr>
            <w:rFonts w:ascii="Times New Roman" w:hAnsi="Times New Roman" w:cs="Times New Roman"/>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219"/>
    <w:multiLevelType w:val="multilevel"/>
    <w:tmpl w:val="15D83219"/>
    <w:lvl w:ilvl="0" w:tentative="0">
      <w:start w:val="1"/>
      <w:numFmt w:val="chineseCountingThousand"/>
      <w:pStyle w:val="3"/>
      <w:lvlText w:val="第%1条"/>
      <w:lvlJc w:val="left"/>
      <w:pPr>
        <w:ind w:left="420" w:hanging="42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A3"/>
    <w:rsid w:val="0000050A"/>
    <w:rsid w:val="00002F1D"/>
    <w:rsid w:val="000056C3"/>
    <w:rsid w:val="0000574C"/>
    <w:rsid w:val="00005CB0"/>
    <w:rsid w:val="000079DF"/>
    <w:rsid w:val="00010E7A"/>
    <w:rsid w:val="00011B34"/>
    <w:rsid w:val="000127EC"/>
    <w:rsid w:val="0001462F"/>
    <w:rsid w:val="00016D8F"/>
    <w:rsid w:val="00027723"/>
    <w:rsid w:val="00027F59"/>
    <w:rsid w:val="0003032D"/>
    <w:rsid w:val="00031038"/>
    <w:rsid w:val="00031BA1"/>
    <w:rsid w:val="000341D3"/>
    <w:rsid w:val="000359D9"/>
    <w:rsid w:val="00036D86"/>
    <w:rsid w:val="00041CE3"/>
    <w:rsid w:val="00042896"/>
    <w:rsid w:val="00042BF2"/>
    <w:rsid w:val="00043191"/>
    <w:rsid w:val="0004480D"/>
    <w:rsid w:val="00046BBB"/>
    <w:rsid w:val="00050C9B"/>
    <w:rsid w:val="0005254A"/>
    <w:rsid w:val="00053601"/>
    <w:rsid w:val="000568EE"/>
    <w:rsid w:val="000570B0"/>
    <w:rsid w:val="00060004"/>
    <w:rsid w:val="000612BB"/>
    <w:rsid w:val="00064B79"/>
    <w:rsid w:val="00073BC3"/>
    <w:rsid w:val="00073EFC"/>
    <w:rsid w:val="000745A7"/>
    <w:rsid w:val="00075B5C"/>
    <w:rsid w:val="00077E33"/>
    <w:rsid w:val="000839B3"/>
    <w:rsid w:val="00087BBB"/>
    <w:rsid w:val="00091716"/>
    <w:rsid w:val="00091C1E"/>
    <w:rsid w:val="000921D0"/>
    <w:rsid w:val="000922DD"/>
    <w:rsid w:val="00093997"/>
    <w:rsid w:val="00096BFE"/>
    <w:rsid w:val="000A1F87"/>
    <w:rsid w:val="000A3DD2"/>
    <w:rsid w:val="000A4FFB"/>
    <w:rsid w:val="000B0A38"/>
    <w:rsid w:val="000B0CD6"/>
    <w:rsid w:val="000B26F1"/>
    <w:rsid w:val="000B34DC"/>
    <w:rsid w:val="000B65E7"/>
    <w:rsid w:val="000B7275"/>
    <w:rsid w:val="000B776B"/>
    <w:rsid w:val="000B7FBC"/>
    <w:rsid w:val="000C2E5C"/>
    <w:rsid w:val="000C3221"/>
    <w:rsid w:val="000C431E"/>
    <w:rsid w:val="000C4D2A"/>
    <w:rsid w:val="000C4E60"/>
    <w:rsid w:val="000C75F4"/>
    <w:rsid w:val="000D0362"/>
    <w:rsid w:val="000D0CA1"/>
    <w:rsid w:val="000D2E4A"/>
    <w:rsid w:val="000D574C"/>
    <w:rsid w:val="000D729F"/>
    <w:rsid w:val="000E1600"/>
    <w:rsid w:val="000E27A2"/>
    <w:rsid w:val="000E33C8"/>
    <w:rsid w:val="000E33D9"/>
    <w:rsid w:val="000E385A"/>
    <w:rsid w:val="000E5FD9"/>
    <w:rsid w:val="000F1251"/>
    <w:rsid w:val="000F1845"/>
    <w:rsid w:val="000F1DFC"/>
    <w:rsid w:val="000F3698"/>
    <w:rsid w:val="000F5E3F"/>
    <w:rsid w:val="000F60DC"/>
    <w:rsid w:val="000F66C6"/>
    <w:rsid w:val="000F70D1"/>
    <w:rsid w:val="001030F2"/>
    <w:rsid w:val="0011221D"/>
    <w:rsid w:val="001131AB"/>
    <w:rsid w:val="00113D03"/>
    <w:rsid w:val="00115B75"/>
    <w:rsid w:val="001175BD"/>
    <w:rsid w:val="00121648"/>
    <w:rsid w:val="00124851"/>
    <w:rsid w:val="00125200"/>
    <w:rsid w:val="00125BF4"/>
    <w:rsid w:val="00125DC7"/>
    <w:rsid w:val="00132C04"/>
    <w:rsid w:val="001333D9"/>
    <w:rsid w:val="00134C07"/>
    <w:rsid w:val="001375AF"/>
    <w:rsid w:val="00137B4F"/>
    <w:rsid w:val="001418C9"/>
    <w:rsid w:val="00142A18"/>
    <w:rsid w:val="00142C87"/>
    <w:rsid w:val="00142CEB"/>
    <w:rsid w:val="00142FF9"/>
    <w:rsid w:val="001436D3"/>
    <w:rsid w:val="00144DC2"/>
    <w:rsid w:val="00145501"/>
    <w:rsid w:val="0014618B"/>
    <w:rsid w:val="001476DB"/>
    <w:rsid w:val="00147A5D"/>
    <w:rsid w:val="00152116"/>
    <w:rsid w:val="001524CE"/>
    <w:rsid w:val="0015375F"/>
    <w:rsid w:val="00154404"/>
    <w:rsid w:val="00154D66"/>
    <w:rsid w:val="00155006"/>
    <w:rsid w:val="001554F5"/>
    <w:rsid w:val="001619AB"/>
    <w:rsid w:val="0016290B"/>
    <w:rsid w:val="00163379"/>
    <w:rsid w:val="0016355F"/>
    <w:rsid w:val="001642E9"/>
    <w:rsid w:val="00164F7A"/>
    <w:rsid w:val="00165BB7"/>
    <w:rsid w:val="0017466A"/>
    <w:rsid w:val="001759B2"/>
    <w:rsid w:val="00175E87"/>
    <w:rsid w:val="00180085"/>
    <w:rsid w:val="00180B7A"/>
    <w:rsid w:val="00183B5C"/>
    <w:rsid w:val="0018792D"/>
    <w:rsid w:val="00190B28"/>
    <w:rsid w:val="00191622"/>
    <w:rsid w:val="00192094"/>
    <w:rsid w:val="0019225C"/>
    <w:rsid w:val="00196FDC"/>
    <w:rsid w:val="001A6CBE"/>
    <w:rsid w:val="001A704A"/>
    <w:rsid w:val="001A71CB"/>
    <w:rsid w:val="001B1507"/>
    <w:rsid w:val="001B4585"/>
    <w:rsid w:val="001B4946"/>
    <w:rsid w:val="001B5AD6"/>
    <w:rsid w:val="001B6298"/>
    <w:rsid w:val="001B6487"/>
    <w:rsid w:val="001B6A22"/>
    <w:rsid w:val="001C293B"/>
    <w:rsid w:val="001C4363"/>
    <w:rsid w:val="001C5A51"/>
    <w:rsid w:val="001C6B15"/>
    <w:rsid w:val="001C7C99"/>
    <w:rsid w:val="001D300C"/>
    <w:rsid w:val="001D63C8"/>
    <w:rsid w:val="001E00E6"/>
    <w:rsid w:val="001E43BC"/>
    <w:rsid w:val="001E4FF0"/>
    <w:rsid w:val="001E52E7"/>
    <w:rsid w:val="001E570D"/>
    <w:rsid w:val="001E5CA8"/>
    <w:rsid w:val="001E6623"/>
    <w:rsid w:val="001E7C9D"/>
    <w:rsid w:val="001F0F5B"/>
    <w:rsid w:val="001F370A"/>
    <w:rsid w:val="001F3AE0"/>
    <w:rsid w:val="001F44A3"/>
    <w:rsid w:val="001F5CEB"/>
    <w:rsid w:val="00205670"/>
    <w:rsid w:val="00211E45"/>
    <w:rsid w:val="0021271D"/>
    <w:rsid w:val="00220D4B"/>
    <w:rsid w:val="00222B5C"/>
    <w:rsid w:val="0022594B"/>
    <w:rsid w:val="00227D5C"/>
    <w:rsid w:val="0023108A"/>
    <w:rsid w:val="00231448"/>
    <w:rsid w:val="00231E06"/>
    <w:rsid w:val="0023204C"/>
    <w:rsid w:val="002343A9"/>
    <w:rsid w:val="0023481F"/>
    <w:rsid w:val="002350B9"/>
    <w:rsid w:val="002352D1"/>
    <w:rsid w:val="00240090"/>
    <w:rsid w:val="00240B82"/>
    <w:rsid w:val="00245382"/>
    <w:rsid w:val="00247DA8"/>
    <w:rsid w:val="00250351"/>
    <w:rsid w:val="00255B79"/>
    <w:rsid w:val="00263994"/>
    <w:rsid w:val="00265B00"/>
    <w:rsid w:val="00265EAB"/>
    <w:rsid w:val="00266F4D"/>
    <w:rsid w:val="002671A7"/>
    <w:rsid w:val="00267F4E"/>
    <w:rsid w:val="00270735"/>
    <w:rsid w:val="0027097C"/>
    <w:rsid w:val="0027261A"/>
    <w:rsid w:val="0027373C"/>
    <w:rsid w:val="002742CA"/>
    <w:rsid w:val="002767C5"/>
    <w:rsid w:val="00276D6A"/>
    <w:rsid w:val="00277E09"/>
    <w:rsid w:val="00280006"/>
    <w:rsid w:val="002801EB"/>
    <w:rsid w:val="00281BE7"/>
    <w:rsid w:val="00284A38"/>
    <w:rsid w:val="002864D2"/>
    <w:rsid w:val="00291434"/>
    <w:rsid w:val="002917C6"/>
    <w:rsid w:val="00294D3B"/>
    <w:rsid w:val="0029510B"/>
    <w:rsid w:val="00295935"/>
    <w:rsid w:val="002A24E6"/>
    <w:rsid w:val="002A5F2A"/>
    <w:rsid w:val="002A61BD"/>
    <w:rsid w:val="002B2322"/>
    <w:rsid w:val="002B32AE"/>
    <w:rsid w:val="002B3FB4"/>
    <w:rsid w:val="002B6158"/>
    <w:rsid w:val="002C126E"/>
    <w:rsid w:val="002C1FB7"/>
    <w:rsid w:val="002C2DAC"/>
    <w:rsid w:val="002C2E9C"/>
    <w:rsid w:val="002C3AF3"/>
    <w:rsid w:val="002C63B0"/>
    <w:rsid w:val="002C6CAE"/>
    <w:rsid w:val="002C7C57"/>
    <w:rsid w:val="002D0725"/>
    <w:rsid w:val="002D20A4"/>
    <w:rsid w:val="002D27E7"/>
    <w:rsid w:val="002D44FC"/>
    <w:rsid w:val="002D5701"/>
    <w:rsid w:val="002D59C8"/>
    <w:rsid w:val="002E57C6"/>
    <w:rsid w:val="002F0346"/>
    <w:rsid w:val="002F2316"/>
    <w:rsid w:val="002F48C0"/>
    <w:rsid w:val="002F5CBD"/>
    <w:rsid w:val="00300075"/>
    <w:rsid w:val="00300451"/>
    <w:rsid w:val="00301B96"/>
    <w:rsid w:val="0030403C"/>
    <w:rsid w:val="003077D8"/>
    <w:rsid w:val="00315FBB"/>
    <w:rsid w:val="00317723"/>
    <w:rsid w:val="00321BCF"/>
    <w:rsid w:val="0033044D"/>
    <w:rsid w:val="003304E7"/>
    <w:rsid w:val="00331391"/>
    <w:rsid w:val="0033247D"/>
    <w:rsid w:val="00333028"/>
    <w:rsid w:val="003424EC"/>
    <w:rsid w:val="003462CC"/>
    <w:rsid w:val="00346C1A"/>
    <w:rsid w:val="00346FFA"/>
    <w:rsid w:val="003524D1"/>
    <w:rsid w:val="0036178C"/>
    <w:rsid w:val="00363EFF"/>
    <w:rsid w:val="00364D89"/>
    <w:rsid w:val="00372A82"/>
    <w:rsid w:val="00373FA2"/>
    <w:rsid w:val="00376B02"/>
    <w:rsid w:val="00376D13"/>
    <w:rsid w:val="0037767D"/>
    <w:rsid w:val="003804C9"/>
    <w:rsid w:val="00380713"/>
    <w:rsid w:val="003808EF"/>
    <w:rsid w:val="00382F56"/>
    <w:rsid w:val="00383022"/>
    <w:rsid w:val="003834AD"/>
    <w:rsid w:val="00383B21"/>
    <w:rsid w:val="00386539"/>
    <w:rsid w:val="00387EF4"/>
    <w:rsid w:val="0039058B"/>
    <w:rsid w:val="003953D0"/>
    <w:rsid w:val="003A18A1"/>
    <w:rsid w:val="003A2B61"/>
    <w:rsid w:val="003A2E0A"/>
    <w:rsid w:val="003A34A9"/>
    <w:rsid w:val="003A57A3"/>
    <w:rsid w:val="003A72F3"/>
    <w:rsid w:val="003A7812"/>
    <w:rsid w:val="003A7B82"/>
    <w:rsid w:val="003B140A"/>
    <w:rsid w:val="003B1CFD"/>
    <w:rsid w:val="003B53A9"/>
    <w:rsid w:val="003B6471"/>
    <w:rsid w:val="003B6B88"/>
    <w:rsid w:val="003B6CE2"/>
    <w:rsid w:val="003C1ADA"/>
    <w:rsid w:val="003C6B24"/>
    <w:rsid w:val="003D095D"/>
    <w:rsid w:val="003D22A6"/>
    <w:rsid w:val="003D25AB"/>
    <w:rsid w:val="003D4BFE"/>
    <w:rsid w:val="003E160A"/>
    <w:rsid w:val="003E2BB6"/>
    <w:rsid w:val="003E75E5"/>
    <w:rsid w:val="003F0C21"/>
    <w:rsid w:val="003F1A62"/>
    <w:rsid w:val="003F314B"/>
    <w:rsid w:val="003F324E"/>
    <w:rsid w:val="003F4830"/>
    <w:rsid w:val="003F499B"/>
    <w:rsid w:val="003F6612"/>
    <w:rsid w:val="003F6805"/>
    <w:rsid w:val="004011B0"/>
    <w:rsid w:val="004032E5"/>
    <w:rsid w:val="00404244"/>
    <w:rsid w:val="00405525"/>
    <w:rsid w:val="00405FC4"/>
    <w:rsid w:val="00410472"/>
    <w:rsid w:val="0041056A"/>
    <w:rsid w:val="00411C53"/>
    <w:rsid w:val="0041315F"/>
    <w:rsid w:val="004147A5"/>
    <w:rsid w:val="004150EC"/>
    <w:rsid w:val="00415332"/>
    <w:rsid w:val="004160F4"/>
    <w:rsid w:val="004177ED"/>
    <w:rsid w:val="00421486"/>
    <w:rsid w:val="00422C8C"/>
    <w:rsid w:val="004230DD"/>
    <w:rsid w:val="00423CD3"/>
    <w:rsid w:val="00424605"/>
    <w:rsid w:val="00425B96"/>
    <w:rsid w:val="00431410"/>
    <w:rsid w:val="00431471"/>
    <w:rsid w:val="00432AF2"/>
    <w:rsid w:val="00433831"/>
    <w:rsid w:val="0043426A"/>
    <w:rsid w:val="00434CE4"/>
    <w:rsid w:val="00437512"/>
    <w:rsid w:val="00437F8E"/>
    <w:rsid w:val="0044216C"/>
    <w:rsid w:val="00450CDF"/>
    <w:rsid w:val="00452AF9"/>
    <w:rsid w:val="00452C5E"/>
    <w:rsid w:val="004530F1"/>
    <w:rsid w:val="004531D8"/>
    <w:rsid w:val="00456D94"/>
    <w:rsid w:val="0046044D"/>
    <w:rsid w:val="00464C13"/>
    <w:rsid w:val="0046767C"/>
    <w:rsid w:val="00470A00"/>
    <w:rsid w:val="00473701"/>
    <w:rsid w:val="00473E93"/>
    <w:rsid w:val="00474115"/>
    <w:rsid w:val="00474131"/>
    <w:rsid w:val="00475538"/>
    <w:rsid w:val="0047712A"/>
    <w:rsid w:val="00477720"/>
    <w:rsid w:val="004777E7"/>
    <w:rsid w:val="0048421C"/>
    <w:rsid w:val="0048548D"/>
    <w:rsid w:val="0048661A"/>
    <w:rsid w:val="004902AC"/>
    <w:rsid w:val="00494DBB"/>
    <w:rsid w:val="00494F9E"/>
    <w:rsid w:val="00495BE1"/>
    <w:rsid w:val="00497456"/>
    <w:rsid w:val="00497850"/>
    <w:rsid w:val="004A5C81"/>
    <w:rsid w:val="004A724E"/>
    <w:rsid w:val="004A72A5"/>
    <w:rsid w:val="004B03DA"/>
    <w:rsid w:val="004B0834"/>
    <w:rsid w:val="004B412F"/>
    <w:rsid w:val="004B5F4E"/>
    <w:rsid w:val="004C372E"/>
    <w:rsid w:val="004C5A83"/>
    <w:rsid w:val="004C75AD"/>
    <w:rsid w:val="004D1077"/>
    <w:rsid w:val="004D2679"/>
    <w:rsid w:val="004D3B98"/>
    <w:rsid w:val="004D5B6B"/>
    <w:rsid w:val="004D5CF8"/>
    <w:rsid w:val="004D61C6"/>
    <w:rsid w:val="004D6439"/>
    <w:rsid w:val="004D7015"/>
    <w:rsid w:val="004E19DE"/>
    <w:rsid w:val="004E28BE"/>
    <w:rsid w:val="004E2F90"/>
    <w:rsid w:val="004E3BE3"/>
    <w:rsid w:val="004E4209"/>
    <w:rsid w:val="004E5E42"/>
    <w:rsid w:val="004E7D36"/>
    <w:rsid w:val="004E7E4D"/>
    <w:rsid w:val="004F7030"/>
    <w:rsid w:val="004F7A33"/>
    <w:rsid w:val="00500483"/>
    <w:rsid w:val="00500ABC"/>
    <w:rsid w:val="005020F6"/>
    <w:rsid w:val="00502249"/>
    <w:rsid w:val="0050350E"/>
    <w:rsid w:val="005061E2"/>
    <w:rsid w:val="00511451"/>
    <w:rsid w:val="00513439"/>
    <w:rsid w:val="005200B0"/>
    <w:rsid w:val="00524499"/>
    <w:rsid w:val="00526B4D"/>
    <w:rsid w:val="0053067A"/>
    <w:rsid w:val="005333D8"/>
    <w:rsid w:val="00535EDE"/>
    <w:rsid w:val="00536428"/>
    <w:rsid w:val="00537C0C"/>
    <w:rsid w:val="005468D5"/>
    <w:rsid w:val="00551BF9"/>
    <w:rsid w:val="00551FB9"/>
    <w:rsid w:val="00552010"/>
    <w:rsid w:val="00553EED"/>
    <w:rsid w:val="00554257"/>
    <w:rsid w:val="00554464"/>
    <w:rsid w:val="005550E2"/>
    <w:rsid w:val="0056047F"/>
    <w:rsid w:val="00560546"/>
    <w:rsid w:val="00562E15"/>
    <w:rsid w:val="005652F0"/>
    <w:rsid w:val="00566717"/>
    <w:rsid w:val="00571BF0"/>
    <w:rsid w:val="0057289B"/>
    <w:rsid w:val="005808D9"/>
    <w:rsid w:val="00580FB7"/>
    <w:rsid w:val="0058121C"/>
    <w:rsid w:val="00582500"/>
    <w:rsid w:val="00582C02"/>
    <w:rsid w:val="00582FFC"/>
    <w:rsid w:val="0058416D"/>
    <w:rsid w:val="005911CC"/>
    <w:rsid w:val="005915AE"/>
    <w:rsid w:val="00591CCF"/>
    <w:rsid w:val="00591CE2"/>
    <w:rsid w:val="005930CB"/>
    <w:rsid w:val="00594939"/>
    <w:rsid w:val="00594CB7"/>
    <w:rsid w:val="00595110"/>
    <w:rsid w:val="00595EBC"/>
    <w:rsid w:val="00597A6F"/>
    <w:rsid w:val="00597F4D"/>
    <w:rsid w:val="005A0017"/>
    <w:rsid w:val="005A125D"/>
    <w:rsid w:val="005A21D9"/>
    <w:rsid w:val="005A2800"/>
    <w:rsid w:val="005A54F2"/>
    <w:rsid w:val="005A5873"/>
    <w:rsid w:val="005A61C3"/>
    <w:rsid w:val="005A7FD2"/>
    <w:rsid w:val="005A7FF8"/>
    <w:rsid w:val="005B0CED"/>
    <w:rsid w:val="005B4404"/>
    <w:rsid w:val="005B4C2D"/>
    <w:rsid w:val="005B5BAE"/>
    <w:rsid w:val="005B6C6A"/>
    <w:rsid w:val="005C0061"/>
    <w:rsid w:val="005C49A2"/>
    <w:rsid w:val="005C7042"/>
    <w:rsid w:val="005D063A"/>
    <w:rsid w:val="005D0B5D"/>
    <w:rsid w:val="005D14B7"/>
    <w:rsid w:val="005D30DA"/>
    <w:rsid w:val="005D4ACB"/>
    <w:rsid w:val="005D6A33"/>
    <w:rsid w:val="005D7CFF"/>
    <w:rsid w:val="005E21D9"/>
    <w:rsid w:val="005E4359"/>
    <w:rsid w:val="005E5C3E"/>
    <w:rsid w:val="005F0FDA"/>
    <w:rsid w:val="005F12D3"/>
    <w:rsid w:val="005F164B"/>
    <w:rsid w:val="005F187A"/>
    <w:rsid w:val="005F2CE5"/>
    <w:rsid w:val="005F3F58"/>
    <w:rsid w:val="006023F5"/>
    <w:rsid w:val="00613627"/>
    <w:rsid w:val="00613A6E"/>
    <w:rsid w:val="0061485C"/>
    <w:rsid w:val="0061553D"/>
    <w:rsid w:val="00620E59"/>
    <w:rsid w:val="00622415"/>
    <w:rsid w:val="00622DB1"/>
    <w:rsid w:val="006232FD"/>
    <w:rsid w:val="0062413D"/>
    <w:rsid w:val="00625DD3"/>
    <w:rsid w:val="00625F13"/>
    <w:rsid w:val="006265DA"/>
    <w:rsid w:val="00627DB6"/>
    <w:rsid w:val="00631F78"/>
    <w:rsid w:val="006329AE"/>
    <w:rsid w:val="00634BFF"/>
    <w:rsid w:val="00642CDE"/>
    <w:rsid w:val="0064405A"/>
    <w:rsid w:val="00651F77"/>
    <w:rsid w:val="00654DB7"/>
    <w:rsid w:val="0065538F"/>
    <w:rsid w:val="00661464"/>
    <w:rsid w:val="00661B36"/>
    <w:rsid w:val="006626FA"/>
    <w:rsid w:val="00663FED"/>
    <w:rsid w:val="006653EA"/>
    <w:rsid w:val="00666C9D"/>
    <w:rsid w:val="00667FAD"/>
    <w:rsid w:val="006701B1"/>
    <w:rsid w:val="0067270F"/>
    <w:rsid w:val="006754D8"/>
    <w:rsid w:val="00677A7D"/>
    <w:rsid w:val="0068192F"/>
    <w:rsid w:val="00681CE5"/>
    <w:rsid w:val="00685A39"/>
    <w:rsid w:val="00686DB8"/>
    <w:rsid w:val="00687B3C"/>
    <w:rsid w:val="00692D97"/>
    <w:rsid w:val="006A0A99"/>
    <w:rsid w:val="006A1EFB"/>
    <w:rsid w:val="006A2A17"/>
    <w:rsid w:val="006A3F63"/>
    <w:rsid w:val="006A4B1F"/>
    <w:rsid w:val="006A70ED"/>
    <w:rsid w:val="006B0A43"/>
    <w:rsid w:val="006B75B7"/>
    <w:rsid w:val="006C3F17"/>
    <w:rsid w:val="006C47F8"/>
    <w:rsid w:val="006C5010"/>
    <w:rsid w:val="006C57CE"/>
    <w:rsid w:val="006C695C"/>
    <w:rsid w:val="006C6F01"/>
    <w:rsid w:val="006D00E0"/>
    <w:rsid w:val="006D0B51"/>
    <w:rsid w:val="006D3E58"/>
    <w:rsid w:val="006D5885"/>
    <w:rsid w:val="006D70BC"/>
    <w:rsid w:val="006D7224"/>
    <w:rsid w:val="006E1224"/>
    <w:rsid w:val="006E21C7"/>
    <w:rsid w:val="006E2B7D"/>
    <w:rsid w:val="006E3273"/>
    <w:rsid w:val="006E3929"/>
    <w:rsid w:val="006E4083"/>
    <w:rsid w:val="006E41BD"/>
    <w:rsid w:val="006E4ACD"/>
    <w:rsid w:val="006E63AE"/>
    <w:rsid w:val="006F26B5"/>
    <w:rsid w:val="006F577C"/>
    <w:rsid w:val="006F5B97"/>
    <w:rsid w:val="00702E7C"/>
    <w:rsid w:val="0070411A"/>
    <w:rsid w:val="0070411B"/>
    <w:rsid w:val="00711A20"/>
    <w:rsid w:val="0071216D"/>
    <w:rsid w:val="00713E43"/>
    <w:rsid w:val="007176B3"/>
    <w:rsid w:val="00717A1A"/>
    <w:rsid w:val="00720B8C"/>
    <w:rsid w:val="0072750A"/>
    <w:rsid w:val="00731555"/>
    <w:rsid w:val="00732FB5"/>
    <w:rsid w:val="007346A8"/>
    <w:rsid w:val="00735A46"/>
    <w:rsid w:val="00736E8A"/>
    <w:rsid w:val="007370DC"/>
    <w:rsid w:val="007371F7"/>
    <w:rsid w:val="00740424"/>
    <w:rsid w:val="0074487A"/>
    <w:rsid w:val="007459D5"/>
    <w:rsid w:val="00745FD1"/>
    <w:rsid w:val="00755750"/>
    <w:rsid w:val="00755F65"/>
    <w:rsid w:val="007612D2"/>
    <w:rsid w:val="007613A8"/>
    <w:rsid w:val="00761582"/>
    <w:rsid w:val="00762526"/>
    <w:rsid w:val="0076344C"/>
    <w:rsid w:val="007640C1"/>
    <w:rsid w:val="0076551A"/>
    <w:rsid w:val="00766EF6"/>
    <w:rsid w:val="00767E44"/>
    <w:rsid w:val="007702FF"/>
    <w:rsid w:val="00771B14"/>
    <w:rsid w:val="00772CDB"/>
    <w:rsid w:val="00774DA0"/>
    <w:rsid w:val="007754CD"/>
    <w:rsid w:val="00776204"/>
    <w:rsid w:val="007775FF"/>
    <w:rsid w:val="007808E7"/>
    <w:rsid w:val="0078266F"/>
    <w:rsid w:val="007843D9"/>
    <w:rsid w:val="00785901"/>
    <w:rsid w:val="00791C17"/>
    <w:rsid w:val="00792A75"/>
    <w:rsid w:val="007953A5"/>
    <w:rsid w:val="007A07C0"/>
    <w:rsid w:val="007A096E"/>
    <w:rsid w:val="007A2480"/>
    <w:rsid w:val="007A3457"/>
    <w:rsid w:val="007A3661"/>
    <w:rsid w:val="007A3B71"/>
    <w:rsid w:val="007A4D13"/>
    <w:rsid w:val="007B1541"/>
    <w:rsid w:val="007B3613"/>
    <w:rsid w:val="007B38A6"/>
    <w:rsid w:val="007B7224"/>
    <w:rsid w:val="007C04F6"/>
    <w:rsid w:val="007C344D"/>
    <w:rsid w:val="007C5716"/>
    <w:rsid w:val="007C6D2E"/>
    <w:rsid w:val="007D77D5"/>
    <w:rsid w:val="007E1A2C"/>
    <w:rsid w:val="007E1EE5"/>
    <w:rsid w:val="007E3916"/>
    <w:rsid w:val="007E412F"/>
    <w:rsid w:val="007E63F7"/>
    <w:rsid w:val="007F09BB"/>
    <w:rsid w:val="007F2E4E"/>
    <w:rsid w:val="007F4121"/>
    <w:rsid w:val="007F55FE"/>
    <w:rsid w:val="007F7A77"/>
    <w:rsid w:val="00804353"/>
    <w:rsid w:val="00811D9F"/>
    <w:rsid w:val="00814041"/>
    <w:rsid w:val="008206C3"/>
    <w:rsid w:val="00820FBE"/>
    <w:rsid w:val="00823AB1"/>
    <w:rsid w:val="008266DE"/>
    <w:rsid w:val="00831216"/>
    <w:rsid w:val="00831BDC"/>
    <w:rsid w:val="00831D67"/>
    <w:rsid w:val="00835791"/>
    <w:rsid w:val="00836A30"/>
    <w:rsid w:val="00841381"/>
    <w:rsid w:val="008419A8"/>
    <w:rsid w:val="008429F1"/>
    <w:rsid w:val="008449EF"/>
    <w:rsid w:val="00850C81"/>
    <w:rsid w:val="00851995"/>
    <w:rsid w:val="008571F3"/>
    <w:rsid w:val="00864B30"/>
    <w:rsid w:val="008705B5"/>
    <w:rsid w:val="00872E34"/>
    <w:rsid w:val="0087300D"/>
    <w:rsid w:val="00873455"/>
    <w:rsid w:val="00873B83"/>
    <w:rsid w:val="00873E94"/>
    <w:rsid w:val="0087685F"/>
    <w:rsid w:val="00880867"/>
    <w:rsid w:val="0088090C"/>
    <w:rsid w:val="00880BB4"/>
    <w:rsid w:val="008845B1"/>
    <w:rsid w:val="00885222"/>
    <w:rsid w:val="00885E2A"/>
    <w:rsid w:val="00886892"/>
    <w:rsid w:val="008872B5"/>
    <w:rsid w:val="00890AF3"/>
    <w:rsid w:val="00890E2E"/>
    <w:rsid w:val="00891985"/>
    <w:rsid w:val="00895E83"/>
    <w:rsid w:val="0089663C"/>
    <w:rsid w:val="00896DEA"/>
    <w:rsid w:val="0089729E"/>
    <w:rsid w:val="008975BD"/>
    <w:rsid w:val="008A4DB7"/>
    <w:rsid w:val="008A73EF"/>
    <w:rsid w:val="008A7E63"/>
    <w:rsid w:val="008B04CF"/>
    <w:rsid w:val="008B0D07"/>
    <w:rsid w:val="008B1E6B"/>
    <w:rsid w:val="008B423A"/>
    <w:rsid w:val="008B58F5"/>
    <w:rsid w:val="008C0379"/>
    <w:rsid w:val="008C18A7"/>
    <w:rsid w:val="008C5C06"/>
    <w:rsid w:val="008C79E7"/>
    <w:rsid w:val="008D0544"/>
    <w:rsid w:val="008D11C1"/>
    <w:rsid w:val="008D23E4"/>
    <w:rsid w:val="008D76F8"/>
    <w:rsid w:val="008E6B26"/>
    <w:rsid w:val="008F217A"/>
    <w:rsid w:val="008F79F7"/>
    <w:rsid w:val="00900EF2"/>
    <w:rsid w:val="009030EA"/>
    <w:rsid w:val="0090310E"/>
    <w:rsid w:val="009042E5"/>
    <w:rsid w:val="00904B3D"/>
    <w:rsid w:val="00905E45"/>
    <w:rsid w:val="00906313"/>
    <w:rsid w:val="00906C8E"/>
    <w:rsid w:val="009106CF"/>
    <w:rsid w:val="00910A6B"/>
    <w:rsid w:val="0091242E"/>
    <w:rsid w:val="00913F4B"/>
    <w:rsid w:val="00914CE9"/>
    <w:rsid w:val="00915556"/>
    <w:rsid w:val="00921ACC"/>
    <w:rsid w:val="00921D12"/>
    <w:rsid w:val="009247B1"/>
    <w:rsid w:val="00924D8B"/>
    <w:rsid w:val="009259E4"/>
    <w:rsid w:val="009272E0"/>
    <w:rsid w:val="00930E5D"/>
    <w:rsid w:val="00931770"/>
    <w:rsid w:val="009325DA"/>
    <w:rsid w:val="00932F5E"/>
    <w:rsid w:val="009332CE"/>
    <w:rsid w:val="00933C92"/>
    <w:rsid w:val="00934341"/>
    <w:rsid w:val="00934FD2"/>
    <w:rsid w:val="00935F07"/>
    <w:rsid w:val="00937555"/>
    <w:rsid w:val="00940BD2"/>
    <w:rsid w:val="00940E8F"/>
    <w:rsid w:val="00941A1E"/>
    <w:rsid w:val="00944931"/>
    <w:rsid w:val="00944E8D"/>
    <w:rsid w:val="009473CE"/>
    <w:rsid w:val="00947CA2"/>
    <w:rsid w:val="00947CD9"/>
    <w:rsid w:val="00947F3D"/>
    <w:rsid w:val="0095007F"/>
    <w:rsid w:val="009500B2"/>
    <w:rsid w:val="009500FD"/>
    <w:rsid w:val="009510E5"/>
    <w:rsid w:val="00951F05"/>
    <w:rsid w:val="00951F92"/>
    <w:rsid w:val="00952F3D"/>
    <w:rsid w:val="00953C57"/>
    <w:rsid w:val="00954C4F"/>
    <w:rsid w:val="00955038"/>
    <w:rsid w:val="009555E4"/>
    <w:rsid w:val="00955DA8"/>
    <w:rsid w:val="00955E8C"/>
    <w:rsid w:val="00957049"/>
    <w:rsid w:val="009617EC"/>
    <w:rsid w:val="009623D4"/>
    <w:rsid w:val="00962B7A"/>
    <w:rsid w:val="00963CB7"/>
    <w:rsid w:val="00963E6F"/>
    <w:rsid w:val="00964202"/>
    <w:rsid w:val="00966794"/>
    <w:rsid w:val="00971B0B"/>
    <w:rsid w:val="009744DF"/>
    <w:rsid w:val="00974B07"/>
    <w:rsid w:val="00975A94"/>
    <w:rsid w:val="00976F89"/>
    <w:rsid w:val="00982F82"/>
    <w:rsid w:val="00985582"/>
    <w:rsid w:val="00986880"/>
    <w:rsid w:val="00986C29"/>
    <w:rsid w:val="00990D0E"/>
    <w:rsid w:val="00995155"/>
    <w:rsid w:val="00995C28"/>
    <w:rsid w:val="009970C6"/>
    <w:rsid w:val="009A09B4"/>
    <w:rsid w:val="009A33DB"/>
    <w:rsid w:val="009A3E44"/>
    <w:rsid w:val="009A5E86"/>
    <w:rsid w:val="009A71F7"/>
    <w:rsid w:val="009B62A4"/>
    <w:rsid w:val="009C25D2"/>
    <w:rsid w:val="009D2458"/>
    <w:rsid w:val="009D24D1"/>
    <w:rsid w:val="009D4664"/>
    <w:rsid w:val="009D4A84"/>
    <w:rsid w:val="009D562F"/>
    <w:rsid w:val="009D5D2C"/>
    <w:rsid w:val="009D7218"/>
    <w:rsid w:val="009D7DEF"/>
    <w:rsid w:val="009E36DC"/>
    <w:rsid w:val="009E5596"/>
    <w:rsid w:val="009E65FA"/>
    <w:rsid w:val="009E6EA9"/>
    <w:rsid w:val="009E7432"/>
    <w:rsid w:val="009F22BD"/>
    <w:rsid w:val="009F29B0"/>
    <w:rsid w:val="009F3F7A"/>
    <w:rsid w:val="009F4699"/>
    <w:rsid w:val="009F6185"/>
    <w:rsid w:val="00A002CB"/>
    <w:rsid w:val="00A00CE4"/>
    <w:rsid w:val="00A00E2A"/>
    <w:rsid w:val="00A04224"/>
    <w:rsid w:val="00A043B6"/>
    <w:rsid w:val="00A05AC4"/>
    <w:rsid w:val="00A06768"/>
    <w:rsid w:val="00A07536"/>
    <w:rsid w:val="00A130BC"/>
    <w:rsid w:val="00A135A8"/>
    <w:rsid w:val="00A14980"/>
    <w:rsid w:val="00A16A88"/>
    <w:rsid w:val="00A21063"/>
    <w:rsid w:val="00A23CB4"/>
    <w:rsid w:val="00A2504F"/>
    <w:rsid w:val="00A25657"/>
    <w:rsid w:val="00A273FE"/>
    <w:rsid w:val="00A30844"/>
    <w:rsid w:val="00A31617"/>
    <w:rsid w:val="00A3350A"/>
    <w:rsid w:val="00A45D8F"/>
    <w:rsid w:val="00A479BE"/>
    <w:rsid w:val="00A517DB"/>
    <w:rsid w:val="00A51C28"/>
    <w:rsid w:val="00A51E20"/>
    <w:rsid w:val="00A51E62"/>
    <w:rsid w:val="00A52456"/>
    <w:rsid w:val="00A53349"/>
    <w:rsid w:val="00A53B68"/>
    <w:rsid w:val="00A55E99"/>
    <w:rsid w:val="00A56BAB"/>
    <w:rsid w:val="00A57ABD"/>
    <w:rsid w:val="00A6047B"/>
    <w:rsid w:val="00A608A8"/>
    <w:rsid w:val="00A60C55"/>
    <w:rsid w:val="00A65442"/>
    <w:rsid w:val="00A65779"/>
    <w:rsid w:val="00A66392"/>
    <w:rsid w:val="00A67C6E"/>
    <w:rsid w:val="00A7200C"/>
    <w:rsid w:val="00A72B6F"/>
    <w:rsid w:val="00A75202"/>
    <w:rsid w:val="00A76447"/>
    <w:rsid w:val="00A81448"/>
    <w:rsid w:val="00A832B8"/>
    <w:rsid w:val="00A836B5"/>
    <w:rsid w:val="00A87515"/>
    <w:rsid w:val="00A904B7"/>
    <w:rsid w:val="00A9118B"/>
    <w:rsid w:val="00A933F8"/>
    <w:rsid w:val="00A949C0"/>
    <w:rsid w:val="00AA03A0"/>
    <w:rsid w:val="00AA6AB1"/>
    <w:rsid w:val="00AB0CF2"/>
    <w:rsid w:val="00AB42DC"/>
    <w:rsid w:val="00AB472E"/>
    <w:rsid w:val="00AB50CF"/>
    <w:rsid w:val="00AB7925"/>
    <w:rsid w:val="00AC106A"/>
    <w:rsid w:val="00AC3256"/>
    <w:rsid w:val="00AC3907"/>
    <w:rsid w:val="00AC7251"/>
    <w:rsid w:val="00AC761C"/>
    <w:rsid w:val="00AD04AA"/>
    <w:rsid w:val="00AD1EA4"/>
    <w:rsid w:val="00AD2E7D"/>
    <w:rsid w:val="00AD7F61"/>
    <w:rsid w:val="00AE1A5C"/>
    <w:rsid w:val="00AE2211"/>
    <w:rsid w:val="00AE260A"/>
    <w:rsid w:val="00AE274A"/>
    <w:rsid w:val="00AE2F88"/>
    <w:rsid w:val="00AE398F"/>
    <w:rsid w:val="00AE79CF"/>
    <w:rsid w:val="00AF0385"/>
    <w:rsid w:val="00AF1130"/>
    <w:rsid w:val="00B00D89"/>
    <w:rsid w:val="00B0182D"/>
    <w:rsid w:val="00B06546"/>
    <w:rsid w:val="00B07693"/>
    <w:rsid w:val="00B07834"/>
    <w:rsid w:val="00B07F1B"/>
    <w:rsid w:val="00B10841"/>
    <w:rsid w:val="00B1269C"/>
    <w:rsid w:val="00B13045"/>
    <w:rsid w:val="00B1388C"/>
    <w:rsid w:val="00B15711"/>
    <w:rsid w:val="00B21A78"/>
    <w:rsid w:val="00B2370E"/>
    <w:rsid w:val="00B23CF9"/>
    <w:rsid w:val="00B30F7C"/>
    <w:rsid w:val="00B40115"/>
    <w:rsid w:val="00B41461"/>
    <w:rsid w:val="00B41708"/>
    <w:rsid w:val="00B42DD8"/>
    <w:rsid w:val="00B44035"/>
    <w:rsid w:val="00B45ABD"/>
    <w:rsid w:val="00B503DD"/>
    <w:rsid w:val="00B51397"/>
    <w:rsid w:val="00B55562"/>
    <w:rsid w:val="00B6026D"/>
    <w:rsid w:val="00B6026F"/>
    <w:rsid w:val="00B610AD"/>
    <w:rsid w:val="00B633FA"/>
    <w:rsid w:val="00B6353F"/>
    <w:rsid w:val="00B677F7"/>
    <w:rsid w:val="00B71506"/>
    <w:rsid w:val="00B72876"/>
    <w:rsid w:val="00B739C5"/>
    <w:rsid w:val="00B771EA"/>
    <w:rsid w:val="00B80CCA"/>
    <w:rsid w:val="00B81853"/>
    <w:rsid w:val="00B91BE4"/>
    <w:rsid w:val="00B921A3"/>
    <w:rsid w:val="00B92F2B"/>
    <w:rsid w:val="00B93A65"/>
    <w:rsid w:val="00B972A8"/>
    <w:rsid w:val="00B97511"/>
    <w:rsid w:val="00BA096D"/>
    <w:rsid w:val="00BA0A73"/>
    <w:rsid w:val="00BA0F95"/>
    <w:rsid w:val="00BA1362"/>
    <w:rsid w:val="00BA2ACC"/>
    <w:rsid w:val="00BA2DBA"/>
    <w:rsid w:val="00BB0635"/>
    <w:rsid w:val="00BB2B62"/>
    <w:rsid w:val="00BB4394"/>
    <w:rsid w:val="00BB516D"/>
    <w:rsid w:val="00BB74CF"/>
    <w:rsid w:val="00BC0466"/>
    <w:rsid w:val="00BC1818"/>
    <w:rsid w:val="00BC2507"/>
    <w:rsid w:val="00BC769D"/>
    <w:rsid w:val="00BC77FC"/>
    <w:rsid w:val="00BD0944"/>
    <w:rsid w:val="00BD18DF"/>
    <w:rsid w:val="00BD21DF"/>
    <w:rsid w:val="00BD4D8D"/>
    <w:rsid w:val="00BD6CF1"/>
    <w:rsid w:val="00BE0364"/>
    <w:rsid w:val="00BE29D7"/>
    <w:rsid w:val="00BE4179"/>
    <w:rsid w:val="00BE4C8A"/>
    <w:rsid w:val="00BE5F1D"/>
    <w:rsid w:val="00BE615D"/>
    <w:rsid w:val="00BE7740"/>
    <w:rsid w:val="00BF4619"/>
    <w:rsid w:val="00BF4DAE"/>
    <w:rsid w:val="00BF5A08"/>
    <w:rsid w:val="00BF6D99"/>
    <w:rsid w:val="00BF725A"/>
    <w:rsid w:val="00BF75CB"/>
    <w:rsid w:val="00C0060B"/>
    <w:rsid w:val="00C0251B"/>
    <w:rsid w:val="00C0443B"/>
    <w:rsid w:val="00C0557B"/>
    <w:rsid w:val="00C06215"/>
    <w:rsid w:val="00C07FB5"/>
    <w:rsid w:val="00C17212"/>
    <w:rsid w:val="00C22B14"/>
    <w:rsid w:val="00C23301"/>
    <w:rsid w:val="00C253C2"/>
    <w:rsid w:val="00C26676"/>
    <w:rsid w:val="00C30CE0"/>
    <w:rsid w:val="00C34362"/>
    <w:rsid w:val="00C356A0"/>
    <w:rsid w:val="00C3592B"/>
    <w:rsid w:val="00C36E52"/>
    <w:rsid w:val="00C37D54"/>
    <w:rsid w:val="00C40222"/>
    <w:rsid w:val="00C41090"/>
    <w:rsid w:val="00C4170A"/>
    <w:rsid w:val="00C469D0"/>
    <w:rsid w:val="00C50872"/>
    <w:rsid w:val="00C5153B"/>
    <w:rsid w:val="00C51E8A"/>
    <w:rsid w:val="00C5458A"/>
    <w:rsid w:val="00C5466A"/>
    <w:rsid w:val="00C57808"/>
    <w:rsid w:val="00C63236"/>
    <w:rsid w:val="00C728A2"/>
    <w:rsid w:val="00C7418D"/>
    <w:rsid w:val="00C74AA9"/>
    <w:rsid w:val="00C763B2"/>
    <w:rsid w:val="00C77ED8"/>
    <w:rsid w:val="00C804E5"/>
    <w:rsid w:val="00C80910"/>
    <w:rsid w:val="00C81353"/>
    <w:rsid w:val="00C829AE"/>
    <w:rsid w:val="00C83CAE"/>
    <w:rsid w:val="00C8464B"/>
    <w:rsid w:val="00C847E7"/>
    <w:rsid w:val="00C8625B"/>
    <w:rsid w:val="00C86AA4"/>
    <w:rsid w:val="00C86C47"/>
    <w:rsid w:val="00C9176A"/>
    <w:rsid w:val="00C92AA0"/>
    <w:rsid w:val="00C9365A"/>
    <w:rsid w:val="00C95F43"/>
    <w:rsid w:val="00CA1211"/>
    <w:rsid w:val="00CA2C72"/>
    <w:rsid w:val="00CA3046"/>
    <w:rsid w:val="00CA3695"/>
    <w:rsid w:val="00CA3D4F"/>
    <w:rsid w:val="00CA75CB"/>
    <w:rsid w:val="00CB0E62"/>
    <w:rsid w:val="00CB435F"/>
    <w:rsid w:val="00CB4670"/>
    <w:rsid w:val="00CB6A67"/>
    <w:rsid w:val="00CB7572"/>
    <w:rsid w:val="00CB7F31"/>
    <w:rsid w:val="00CC1703"/>
    <w:rsid w:val="00CC1A1F"/>
    <w:rsid w:val="00CC2D9E"/>
    <w:rsid w:val="00CC3802"/>
    <w:rsid w:val="00CC4BFD"/>
    <w:rsid w:val="00CC5DF6"/>
    <w:rsid w:val="00CC5E4F"/>
    <w:rsid w:val="00CD5F1F"/>
    <w:rsid w:val="00CE0956"/>
    <w:rsid w:val="00CE3A0A"/>
    <w:rsid w:val="00CE4FA2"/>
    <w:rsid w:val="00CE5AEE"/>
    <w:rsid w:val="00CE5BB0"/>
    <w:rsid w:val="00CE5DAA"/>
    <w:rsid w:val="00CE6182"/>
    <w:rsid w:val="00CE6415"/>
    <w:rsid w:val="00CE7622"/>
    <w:rsid w:val="00CF0CB9"/>
    <w:rsid w:val="00CF194C"/>
    <w:rsid w:val="00CF2F2B"/>
    <w:rsid w:val="00CF3054"/>
    <w:rsid w:val="00CF340D"/>
    <w:rsid w:val="00CF3CD1"/>
    <w:rsid w:val="00CF5696"/>
    <w:rsid w:val="00CF5F84"/>
    <w:rsid w:val="00CF6EF9"/>
    <w:rsid w:val="00CF7A58"/>
    <w:rsid w:val="00D00FB4"/>
    <w:rsid w:val="00D0207E"/>
    <w:rsid w:val="00D02C25"/>
    <w:rsid w:val="00D07E82"/>
    <w:rsid w:val="00D10AA9"/>
    <w:rsid w:val="00D115FA"/>
    <w:rsid w:val="00D12524"/>
    <w:rsid w:val="00D12790"/>
    <w:rsid w:val="00D13C70"/>
    <w:rsid w:val="00D15093"/>
    <w:rsid w:val="00D1525A"/>
    <w:rsid w:val="00D20B29"/>
    <w:rsid w:val="00D20BE2"/>
    <w:rsid w:val="00D2280C"/>
    <w:rsid w:val="00D231E1"/>
    <w:rsid w:val="00D23287"/>
    <w:rsid w:val="00D304ED"/>
    <w:rsid w:val="00D30C17"/>
    <w:rsid w:val="00D34FFF"/>
    <w:rsid w:val="00D36A6C"/>
    <w:rsid w:val="00D40547"/>
    <w:rsid w:val="00D40B76"/>
    <w:rsid w:val="00D41D18"/>
    <w:rsid w:val="00D4281C"/>
    <w:rsid w:val="00D42DA6"/>
    <w:rsid w:val="00D46372"/>
    <w:rsid w:val="00D4701E"/>
    <w:rsid w:val="00D5234E"/>
    <w:rsid w:val="00D579AC"/>
    <w:rsid w:val="00D62146"/>
    <w:rsid w:val="00D63B70"/>
    <w:rsid w:val="00D647D7"/>
    <w:rsid w:val="00D67129"/>
    <w:rsid w:val="00D714C8"/>
    <w:rsid w:val="00D737C9"/>
    <w:rsid w:val="00D7574C"/>
    <w:rsid w:val="00D7642E"/>
    <w:rsid w:val="00D83D0A"/>
    <w:rsid w:val="00D903EC"/>
    <w:rsid w:val="00D924E9"/>
    <w:rsid w:val="00D927CC"/>
    <w:rsid w:val="00D933D9"/>
    <w:rsid w:val="00D96495"/>
    <w:rsid w:val="00DA48DE"/>
    <w:rsid w:val="00DA4CEB"/>
    <w:rsid w:val="00DB0FF6"/>
    <w:rsid w:val="00DB52BD"/>
    <w:rsid w:val="00DB5E74"/>
    <w:rsid w:val="00DB6664"/>
    <w:rsid w:val="00DB6E0C"/>
    <w:rsid w:val="00DB770A"/>
    <w:rsid w:val="00DC5179"/>
    <w:rsid w:val="00DC5A45"/>
    <w:rsid w:val="00DC72E2"/>
    <w:rsid w:val="00DC7C57"/>
    <w:rsid w:val="00DD002E"/>
    <w:rsid w:val="00DD04FE"/>
    <w:rsid w:val="00DD0D0D"/>
    <w:rsid w:val="00DD40F2"/>
    <w:rsid w:val="00DE11C6"/>
    <w:rsid w:val="00DE180A"/>
    <w:rsid w:val="00DE2AA1"/>
    <w:rsid w:val="00DE33BB"/>
    <w:rsid w:val="00DE4996"/>
    <w:rsid w:val="00DE534C"/>
    <w:rsid w:val="00DE6584"/>
    <w:rsid w:val="00DF1628"/>
    <w:rsid w:val="00DF3C7B"/>
    <w:rsid w:val="00DF6B67"/>
    <w:rsid w:val="00DF7247"/>
    <w:rsid w:val="00E00994"/>
    <w:rsid w:val="00E02947"/>
    <w:rsid w:val="00E05620"/>
    <w:rsid w:val="00E074AF"/>
    <w:rsid w:val="00E13030"/>
    <w:rsid w:val="00E16968"/>
    <w:rsid w:val="00E16CCC"/>
    <w:rsid w:val="00E213B5"/>
    <w:rsid w:val="00E2356B"/>
    <w:rsid w:val="00E30322"/>
    <w:rsid w:val="00E30E39"/>
    <w:rsid w:val="00E326E4"/>
    <w:rsid w:val="00E350C3"/>
    <w:rsid w:val="00E36477"/>
    <w:rsid w:val="00E400E6"/>
    <w:rsid w:val="00E43D8B"/>
    <w:rsid w:val="00E45331"/>
    <w:rsid w:val="00E456ED"/>
    <w:rsid w:val="00E45BA3"/>
    <w:rsid w:val="00E47B33"/>
    <w:rsid w:val="00E505C9"/>
    <w:rsid w:val="00E52D67"/>
    <w:rsid w:val="00E54013"/>
    <w:rsid w:val="00E54A87"/>
    <w:rsid w:val="00E55E59"/>
    <w:rsid w:val="00E60ECE"/>
    <w:rsid w:val="00E62587"/>
    <w:rsid w:val="00E657B1"/>
    <w:rsid w:val="00E6629D"/>
    <w:rsid w:val="00E66D06"/>
    <w:rsid w:val="00E70CD1"/>
    <w:rsid w:val="00E74E7A"/>
    <w:rsid w:val="00E86FFF"/>
    <w:rsid w:val="00E87A08"/>
    <w:rsid w:val="00E87E50"/>
    <w:rsid w:val="00E87FA2"/>
    <w:rsid w:val="00E925CB"/>
    <w:rsid w:val="00E96467"/>
    <w:rsid w:val="00E96704"/>
    <w:rsid w:val="00EA2DF4"/>
    <w:rsid w:val="00EA6518"/>
    <w:rsid w:val="00EA7225"/>
    <w:rsid w:val="00EB0EAA"/>
    <w:rsid w:val="00EB3237"/>
    <w:rsid w:val="00EB5562"/>
    <w:rsid w:val="00EB5868"/>
    <w:rsid w:val="00EB725D"/>
    <w:rsid w:val="00EB73CC"/>
    <w:rsid w:val="00EC0C1E"/>
    <w:rsid w:val="00EC3C60"/>
    <w:rsid w:val="00EC3C65"/>
    <w:rsid w:val="00EC4120"/>
    <w:rsid w:val="00EC6476"/>
    <w:rsid w:val="00EC65BA"/>
    <w:rsid w:val="00EC7644"/>
    <w:rsid w:val="00ED04BE"/>
    <w:rsid w:val="00ED46B5"/>
    <w:rsid w:val="00ED7D5A"/>
    <w:rsid w:val="00EE14CF"/>
    <w:rsid w:val="00EE3178"/>
    <w:rsid w:val="00EE3CED"/>
    <w:rsid w:val="00EE6B55"/>
    <w:rsid w:val="00EF11FB"/>
    <w:rsid w:val="00EF3CBD"/>
    <w:rsid w:val="00EF40C7"/>
    <w:rsid w:val="00F027FC"/>
    <w:rsid w:val="00F03118"/>
    <w:rsid w:val="00F06E12"/>
    <w:rsid w:val="00F0794B"/>
    <w:rsid w:val="00F07A5C"/>
    <w:rsid w:val="00F1202E"/>
    <w:rsid w:val="00F13E48"/>
    <w:rsid w:val="00F15FBD"/>
    <w:rsid w:val="00F1651D"/>
    <w:rsid w:val="00F167C0"/>
    <w:rsid w:val="00F170F3"/>
    <w:rsid w:val="00F24BA8"/>
    <w:rsid w:val="00F24E44"/>
    <w:rsid w:val="00F2753A"/>
    <w:rsid w:val="00F30A09"/>
    <w:rsid w:val="00F31457"/>
    <w:rsid w:val="00F316E0"/>
    <w:rsid w:val="00F34C67"/>
    <w:rsid w:val="00F363DC"/>
    <w:rsid w:val="00F37F6A"/>
    <w:rsid w:val="00F40986"/>
    <w:rsid w:val="00F43FDB"/>
    <w:rsid w:val="00F47582"/>
    <w:rsid w:val="00F60275"/>
    <w:rsid w:val="00F610F9"/>
    <w:rsid w:val="00F62A7D"/>
    <w:rsid w:val="00F62C10"/>
    <w:rsid w:val="00F63ACE"/>
    <w:rsid w:val="00F648C9"/>
    <w:rsid w:val="00F70613"/>
    <w:rsid w:val="00F744B4"/>
    <w:rsid w:val="00F75D66"/>
    <w:rsid w:val="00F76F54"/>
    <w:rsid w:val="00F77B6C"/>
    <w:rsid w:val="00F8006F"/>
    <w:rsid w:val="00F826E6"/>
    <w:rsid w:val="00F82993"/>
    <w:rsid w:val="00F8303C"/>
    <w:rsid w:val="00F85A89"/>
    <w:rsid w:val="00F8643A"/>
    <w:rsid w:val="00F86F61"/>
    <w:rsid w:val="00F90C99"/>
    <w:rsid w:val="00F946A4"/>
    <w:rsid w:val="00F972B9"/>
    <w:rsid w:val="00F977A7"/>
    <w:rsid w:val="00FA3AC8"/>
    <w:rsid w:val="00FA457E"/>
    <w:rsid w:val="00FA4A25"/>
    <w:rsid w:val="00FA644B"/>
    <w:rsid w:val="00FA7B1B"/>
    <w:rsid w:val="00FB0064"/>
    <w:rsid w:val="00FB0580"/>
    <w:rsid w:val="00FB61A0"/>
    <w:rsid w:val="00FB637E"/>
    <w:rsid w:val="00FB6462"/>
    <w:rsid w:val="00FB7DCE"/>
    <w:rsid w:val="00FC199F"/>
    <w:rsid w:val="00FC24D1"/>
    <w:rsid w:val="00FC2FA7"/>
    <w:rsid w:val="00FC5597"/>
    <w:rsid w:val="00FC5785"/>
    <w:rsid w:val="00FC5B16"/>
    <w:rsid w:val="00FC6D2F"/>
    <w:rsid w:val="00FD0B75"/>
    <w:rsid w:val="00FD37EE"/>
    <w:rsid w:val="00FD7727"/>
    <w:rsid w:val="00FE524C"/>
    <w:rsid w:val="00FE71C5"/>
    <w:rsid w:val="00FF215B"/>
    <w:rsid w:val="00FF2E7F"/>
    <w:rsid w:val="00FF3299"/>
    <w:rsid w:val="00FF3B9F"/>
    <w:rsid w:val="00FF5597"/>
    <w:rsid w:val="00FF6B71"/>
    <w:rsid w:val="00FF6D32"/>
    <w:rsid w:val="00FF74ED"/>
    <w:rsid w:val="01AF4934"/>
    <w:rsid w:val="01F134E7"/>
    <w:rsid w:val="03154DA3"/>
    <w:rsid w:val="032F1ABC"/>
    <w:rsid w:val="035E2CB3"/>
    <w:rsid w:val="03A0692D"/>
    <w:rsid w:val="03EE6868"/>
    <w:rsid w:val="04B87F67"/>
    <w:rsid w:val="05387E5C"/>
    <w:rsid w:val="06003A47"/>
    <w:rsid w:val="06EF2FB0"/>
    <w:rsid w:val="07132F25"/>
    <w:rsid w:val="07812E5A"/>
    <w:rsid w:val="07AD53BB"/>
    <w:rsid w:val="07B53314"/>
    <w:rsid w:val="07CB4012"/>
    <w:rsid w:val="080A2C21"/>
    <w:rsid w:val="08186D06"/>
    <w:rsid w:val="088607B9"/>
    <w:rsid w:val="08F737E4"/>
    <w:rsid w:val="099D3834"/>
    <w:rsid w:val="09A26603"/>
    <w:rsid w:val="09CB4F63"/>
    <w:rsid w:val="0A107470"/>
    <w:rsid w:val="0A336AE9"/>
    <w:rsid w:val="0A4E5773"/>
    <w:rsid w:val="0ACE78AF"/>
    <w:rsid w:val="0B6B4DC9"/>
    <w:rsid w:val="0B7E7E15"/>
    <w:rsid w:val="0BCA6620"/>
    <w:rsid w:val="0C77004C"/>
    <w:rsid w:val="0CB465D8"/>
    <w:rsid w:val="0D57112C"/>
    <w:rsid w:val="0DDA261A"/>
    <w:rsid w:val="0E601E54"/>
    <w:rsid w:val="0F2C308A"/>
    <w:rsid w:val="0F91556A"/>
    <w:rsid w:val="0FEF4E30"/>
    <w:rsid w:val="101315B4"/>
    <w:rsid w:val="1036597C"/>
    <w:rsid w:val="106C5DCB"/>
    <w:rsid w:val="11534DB6"/>
    <w:rsid w:val="126B5C28"/>
    <w:rsid w:val="12DB164E"/>
    <w:rsid w:val="13006877"/>
    <w:rsid w:val="13BB3F31"/>
    <w:rsid w:val="1420595E"/>
    <w:rsid w:val="146109FF"/>
    <w:rsid w:val="1496452F"/>
    <w:rsid w:val="14AC28CD"/>
    <w:rsid w:val="14B422DB"/>
    <w:rsid w:val="15476762"/>
    <w:rsid w:val="158C30A9"/>
    <w:rsid w:val="15C64541"/>
    <w:rsid w:val="16737207"/>
    <w:rsid w:val="16B96A7B"/>
    <w:rsid w:val="16EE0253"/>
    <w:rsid w:val="17427256"/>
    <w:rsid w:val="17A51B8D"/>
    <w:rsid w:val="18285065"/>
    <w:rsid w:val="18A7722B"/>
    <w:rsid w:val="19953DAE"/>
    <w:rsid w:val="19F021B8"/>
    <w:rsid w:val="1A006F8C"/>
    <w:rsid w:val="1A2E3103"/>
    <w:rsid w:val="1A7C7633"/>
    <w:rsid w:val="1B1A570F"/>
    <w:rsid w:val="1B2133F2"/>
    <w:rsid w:val="1B5C016E"/>
    <w:rsid w:val="1BD6479D"/>
    <w:rsid w:val="1BE15708"/>
    <w:rsid w:val="1C52335F"/>
    <w:rsid w:val="1D6648A5"/>
    <w:rsid w:val="1D6A07C6"/>
    <w:rsid w:val="1DB64A49"/>
    <w:rsid w:val="1E1C05B8"/>
    <w:rsid w:val="1F0D116F"/>
    <w:rsid w:val="1F246A78"/>
    <w:rsid w:val="1FF012CD"/>
    <w:rsid w:val="206F7987"/>
    <w:rsid w:val="210444D1"/>
    <w:rsid w:val="21853EB5"/>
    <w:rsid w:val="21F337C3"/>
    <w:rsid w:val="21FE1DFA"/>
    <w:rsid w:val="22010753"/>
    <w:rsid w:val="223C493C"/>
    <w:rsid w:val="22723630"/>
    <w:rsid w:val="22924AC8"/>
    <w:rsid w:val="23402840"/>
    <w:rsid w:val="235B33C5"/>
    <w:rsid w:val="24B1791D"/>
    <w:rsid w:val="252E58D8"/>
    <w:rsid w:val="255924E4"/>
    <w:rsid w:val="25A93C5C"/>
    <w:rsid w:val="25CD64AC"/>
    <w:rsid w:val="261F2C2C"/>
    <w:rsid w:val="277F4652"/>
    <w:rsid w:val="27BC3833"/>
    <w:rsid w:val="285D4809"/>
    <w:rsid w:val="297C70C4"/>
    <w:rsid w:val="29F35C60"/>
    <w:rsid w:val="2A063C21"/>
    <w:rsid w:val="2A436976"/>
    <w:rsid w:val="2AB02615"/>
    <w:rsid w:val="2B7C5D34"/>
    <w:rsid w:val="2C387947"/>
    <w:rsid w:val="2C3B147A"/>
    <w:rsid w:val="2D2D2206"/>
    <w:rsid w:val="2D8D7604"/>
    <w:rsid w:val="2E573C61"/>
    <w:rsid w:val="2F870EEE"/>
    <w:rsid w:val="30365B77"/>
    <w:rsid w:val="30723582"/>
    <w:rsid w:val="30B04B3F"/>
    <w:rsid w:val="30D9304C"/>
    <w:rsid w:val="31461082"/>
    <w:rsid w:val="316E5078"/>
    <w:rsid w:val="318D1E84"/>
    <w:rsid w:val="32FE5FF0"/>
    <w:rsid w:val="332C0CC5"/>
    <w:rsid w:val="33DE794D"/>
    <w:rsid w:val="350C1B2B"/>
    <w:rsid w:val="355A00FD"/>
    <w:rsid w:val="37B73C6E"/>
    <w:rsid w:val="37DA6CE7"/>
    <w:rsid w:val="39BA0DBB"/>
    <w:rsid w:val="39C830C1"/>
    <w:rsid w:val="3A0573DF"/>
    <w:rsid w:val="3A451326"/>
    <w:rsid w:val="3AEC2F4A"/>
    <w:rsid w:val="3B243203"/>
    <w:rsid w:val="3B3643CA"/>
    <w:rsid w:val="3BE155F4"/>
    <w:rsid w:val="3CD779C1"/>
    <w:rsid w:val="3CFF0D82"/>
    <w:rsid w:val="3D1027D8"/>
    <w:rsid w:val="3D237220"/>
    <w:rsid w:val="3D3E50E5"/>
    <w:rsid w:val="3DE2754A"/>
    <w:rsid w:val="3DE5746A"/>
    <w:rsid w:val="3DF93A07"/>
    <w:rsid w:val="3EB347CB"/>
    <w:rsid w:val="3F3F3607"/>
    <w:rsid w:val="3FA2452F"/>
    <w:rsid w:val="400E2FEF"/>
    <w:rsid w:val="40532825"/>
    <w:rsid w:val="407D6B1D"/>
    <w:rsid w:val="40B91736"/>
    <w:rsid w:val="40DB64C0"/>
    <w:rsid w:val="415913F0"/>
    <w:rsid w:val="423C40C3"/>
    <w:rsid w:val="42CB709E"/>
    <w:rsid w:val="43A35397"/>
    <w:rsid w:val="4425078E"/>
    <w:rsid w:val="442967DE"/>
    <w:rsid w:val="44674CBD"/>
    <w:rsid w:val="44C036E6"/>
    <w:rsid w:val="44C330D0"/>
    <w:rsid w:val="45A73B1F"/>
    <w:rsid w:val="45BF1777"/>
    <w:rsid w:val="468B6DF0"/>
    <w:rsid w:val="47402BDB"/>
    <w:rsid w:val="47AC355A"/>
    <w:rsid w:val="47D71730"/>
    <w:rsid w:val="489250B5"/>
    <w:rsid w:val="48D90410"/>
    <w:rsid w:val="4A11600F"/>
    <w:rsid w:val="4A317739"/>
    <w:rsid w:val="4AAA407D"/>
    <w:rsid w:val="4AD46508"/>
    <w:rsid w:val="4AD67AA2"/>
    <w:rsid w:val="4B620938"/>
    <w:rsid w:val="4C6C069F"/>
    <w:rsid w:val="4C9F2777"/>
    <w:rsid w:val="4CA16B01"/>
    <w:rsid w:val="4D147ED0"/>
    <w:rsid w:val="4E063E92"/>
    <w:rsid w:val="4E0E5EC5"/>
    <w:rsid w:val="4E8C0DB6"/>
    <w:rsid w:val="4E8C1613"/>
    <w:rsid w:val="4EE42F53"/>
    <w:rsid w:val="4EED53A3"/>
    <w:rsid w:val="4F60241B"/>
    <w:rsid w:val="4FFD13F1"/>
    <w:rsid w:val="501A090F"/>
    <w:rsid w:val="50316C67"/>
    <w:rsid w:val="50376EDD"/>
    <w:rsid w:val="503A109F"/>
    <w:rsid w:val="504B61BB"/>
    <w:rsid w:val="508D12AA"/>
    <w:rsid w:val="50E46C50"/>
    <w:rsid w:val="50F96C29"/>
    <w:rsid w:val="51E941BE"/>
    <w:rsid w:val="524704E5"/>
    <w:rsid w:val="52FB06DB"/>
    <w:rsid w:val="5378286E"/>
    <w:rsid w:val="53B01D33"/>
    <w:rsid w:val="54B93C4B"/>
    <w:rsid w:val="54F7138C"/>
    <w:rsid w:val="5564587D"/>
    <w:rsid w:val="55D84C47"/>
    <w:rsid w:val="55E43F05"/>
    <w:rsid w:val="56051896"/>
    <w:rsid w:val="567E011B"/>
    <w:rsid w:val="56C04821"/>
    <w:rsid w:val="570E3159"/>
    <w:rsid w:val="584C6F39"/>
    <w:rsid w:val="586E2197"/>
    <w:rsid w:val="588D2F15"/>
    <w:rsid w:val="59A408B3"/>
    <w:rsid w:val="5A7D3DED"/>
    <w:rsid w:val="5AA756E1"/>
    <w:rsid w:val="5ADF1643"/>
    <w:rsid w:val="5B090CEC"/>
    <w:rsid w:val="5B46287E"/>
    <w:rsid w:val="5C6D4088"/>
    <w:rsid w:val="5CBF466A"/>
    <w:rsid w:val="5E7D4FDF"/>
    <w:rsid w:val="5F47093A"/>
    <w:rsid w:val="5FB46452"/>
    <w:rsid w:val="60462CA9"/>
    <w:rsid w:val="609B13E3"/>
    <w:rsid w:val="617B0D62"/>
    <w:rsid w:val="62EC1E6D"/>
    <w:rsid w:val="64AE5D77"/>
    <w:rsid w:val="64B93181"/>
    <w:rsid w:val="64C36C30"/>
    <w:rsid w:val="65570B0A"/>
    <w:rsid w:val="65575CD4"/>
    <w:rsid w:val="66A205CE"/>
    <w:rsid w:val="66C237CA"/>
    <w:rsid w:val="67080331"/>
    <w:rsid w:val="67656E65"/>
    <w:rsid w:val="67A8131E"/>
    <w:rsid w:val="67EBEC75"/>
    <w:rsid w:val="686B4514"/>
    <w:rsid w:val="69DE12DA"/>
    <w:rsid w:val="6AAD5E1E"/>
    <w:rsid w:val="6C2F7419"/>
    <w:rsid w:val="6CFB06AB"/>
    <w:rsid w:val="6D9465A0"/>
    <w:rsid w:val="6E1F7806"/>
    <w:rsid w:val="6E602784"/>
    <w:rsid w:val="6EF51AA6"/>
    <w:rsid w:val="6F503D3E"/>
    <w:rsid w:val="706D5B42"/>
    <w:rsid w:val="713F6EC0"/>
    <w:rsid w:val="716E0CDF"/>
    <w:rsid w:val="722F6022"/>
    <w:rsid w:val="72876F6C"/>
    <w:rsid w:val="72E4781B"/>
    <w:rsid w:val="73244BF7"/>
    <w:rsid w:val="73ED5C54"/>
    <w:rsid w:val="74435762"/>
    <w:rsid w:val="74EA2533"/>
    <w:rsid w:val="75847769"/>
    <w:rsid w:val="75ED63A3"/>
    <w:rsid w:val="7612321F"/>
    <w:rsid w:val="763C05D0"/>
    <w:rsid w:val="76A44444"/>
    <w:rsid w:val="776F12B4"/>
    <w:rsid w:val="779B3B8B"/>
    <w:rsid w:val="77B03A22"/>
    <w:rsid w:val="7A933650"/>
    <w:rsid w:val="7B655E3C"/>
    <w:rsid w:val="7BC653B5"/>
    <w:rsid w:val="7C010BC9"/>
    <w:rsid w:val="7CF750B9"/>
    <w:rsid w:val="7D8064D2"/>
    <w:rsid w:val="7E9627C1"/>
    <w:rsid w:val="7E9F4393"/>
    <w:rsid w:val="7EB57303"/>
    <w:rsid w:val="7F00119D"/>
    <w:rsid w:val="7F696D29"/>
    <w:rsid w:val="7FDA29ED"/>
    <w:rsid w:val="7FF7725B"/>
    <w:rsid w:val="B6F300B2"/>
    <w:rsid w:val="EB7E3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60" w:lineRule="exact"/>
      <w:jc w:val="center"/>
      <w:outlineLvl w:val="0"/>
    </w:pPr>
    <w:rPr>
      <w:rFonts w:ascii="Times New Roman" w:hAnsi="Times New Roman" w:eastAsia="仿宋"/>
      <w:b/>
      <w:bCs/>
      <w:color w:val="000000" w:themeColor="text1"/>
      <w:kern w:val="44"/>
      <w:sz w:val="32"/>
      <w:szCs w:val="32"/>
      <w14:textFill>
        <w14:solidFill>
          <w14:schemeClr w14:val="tx1"/>
        </w14:solidFill>
      </w14:textFill>
    </w:rPr>
  </w:style>
  <w:style w:type="paragraph" w:styleId="3">
    <w:name w:val="heading 2"/>
    <w:basedOn w:val="1"/>
    <w:next w:val="1"/>
    <w:link w:val="32"/>
    <w:unhideWhenUsed/>
    <w:qFormat/>
    <w:uiPriority w:val="9"/>
    <w:pPr>
      <w:keepNext/>
      <w:keepLines/>
      <w:numPr>
        <w:ilvl w:val="0"/>
        <w:numId w:val="1"/>
      </w:numPr>
      <w:spacing w:before="260" w:after="260" w:line="416" w:lineRule="auto"/>
      <w:outlineLvl w:val="1"/>
    </w:pPr>
    <w:rPr>
      <w:rFonts w:eastAsia="仿宋" w:asciiTheme="majorHAnsi" w:hAnsiTheme="majorHAnsi" w:cstheme="majorBidi"/>
      <w:b/>
      <w:bCs/>
      <w:sz w:val="32"/>
      <w:szCs w:val="32"/>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7"/>
    <w:unhideWhenUsed/>
    <w:qFormat/>
    <w:uiPriority w:val="99"/>
    <w:rPr>
      <w:b/>
      <w:bCs/>
    </w:rPr>
  </w:style>
  <w:style w:type="paragraph" w:styleId="5">
    <w:name w:val="annotation text"/>
    <w:basedOn w:val="1"/>
    <w:link w:val="36"/>
    <w:unhideWhenUsed/>
    <w:qFormat/>
    <w:uiPriority w:val="99"/>
    <w:pPr>
      <w:jc w:val="left"/>
    </w:pPr>
  </w:style>
  <w:style w:type="paragraph" w:styleId="6">
    <w:name w:val="toc 7"/>
    <w:basedOn w:val="1"/>
    <w:next w:val="1"/>
    <w:unhideWhenUsed/>
    <w:qFormat/>
    <w:uiPriority w:val="39"/>
    <w:pPr>
      <w:ind w:left="1260"/>
      <w:jc w:val="left"/>
    </w:pPr>
    <w:rPr>
      <w:rFonts w:cstheme="minorHAnsi"/>
      <w:sz w:val="18"/>
      <w:szCs w:val="18"/>
    </w:rPr>
  </w:style>
  <w:style w:type="paragraph" w:styleId="7">
    <w:name w:val="Document Map"/>
    <w:basedOn w:val="1"/>
    <w:link w:val="31"/>
    <w:unhideWhenUsed/>
    <w:qFormat/>
    <w:uiPriority w:val="99"/>
    <w:rPr>
      <w:rFonts w:ascii="宋体" w:eastAsia="宋体"/>
      <w:sz w:val="18"/>
      <w:szCs w:val="18"/>
    </w:rPr>
  </w:style>
  <w:style w:type="paragraph" w:styleId="8">
    <w:name w:val="Body Text Indent"/>
    <w:basedOn w:val="1"/>
    <w:link w:val="41"/>
    <w:unhideWhenUsed/>
    <w:qFormat/>
    <w:uiPriority w:val="99"/>
    <w:pPr>
      <w:spacing w:after="120"/>
      <w:ind w:left="420" w:leftChars="200"/>
    </w:pPr>
  </w:style>
  <w:style w:type="paragraph" w:styleId="9">
    <w:name w:val="toc 5"/>
    <w:basedOn w:val="1"/>
    <w:next w:val="1"/>
    <w:unhideWhenUsed/>
    <w:qFormat/>
    <w:uiPriority w:val="39"/>
    <w:pPr>
      <w:ind w:left="840"/>
      <w:jc w:val="left"/>
    </w:pPr>
    <w:rPr>
      <w:rFonts w:cstheme="minorHAnsi"/>
      <w:sz w:val="18"/>
      <w:szCs w:val="18"/>
    </w:rPr>
  </w:style>
  <w:style w:type="paragraph" w:styleId="10">
    <w:name w:val="toc 3"/>
    <w:basedOn w:val="1"/>
    <w:next w:val="1"/>
    <w:unhideWhenUsed/>
    <w:qFormat/>
    <w:uiPriority w:val="39"/>
    <w:pPr>
      <w:ind w:left="420"/>
      <w:jc w:val="left"/>
    </w:pPr>
    <w:rPr>
      <w:rFonts w:ascii="Times New Roman" w:hAnsi="Times New Roman" w:eastAsia="黑体" w:cs="Calibri (西文正文)"/>
      <w:b/>
      <w:iCs/>
      <w:sz w:val="28"/>
      <w:szCs w:val="20"/>
    </w:rPr>
  </w:style>
  <w:style w:type="paragraph" w:styleId="11">
    <w:name w:val="toc 8"/>
    <w:basedOn w:val="1"/>
    <w:next w:val="1"/>
    <w:unhideWhenUsed/>
    <w:qFormat/>
    <w:uiPriority w:val="39"/>
    <w:pPr>
      <w:ind w:left="1470"/>
      <w:jc w:val="left"/>
    </w:pPr>
    <w:rPr>
      <w:rFonts w:cstheme="minorHAnsi"/>
      <w:sz w:val="18"/>
      <w:szCs w:val="18"/>
    </w:rPr>
  </w:style>
  <w:style w:type="paragraph" w:styleId="12">
    <w:name w:val="Date"/>
    <w:basedOn w:val="1"/>
    <w:next w:val="1"/>
    <w:link w:val="48"/>
    <w:unhideWhenUsed/>
    <w:qFormat/>
    <w:uiPriority w:val="99"/>
    <w:pPr>
      <w:ind w:left="100" w:leftChars="2500"/>
    </w:pPr>
  </w:style>
  <w:style w:type="paragraph" w:styleId="13">
    <w:name w:val="Body Text Indent 2"/>
    <w:basedOn w:val="1"/>
    <w:link w:val="40"/>
    <w:unhideWhenUsed/>
    <w:qFormat/>
    <w:uiPriority w:val="99"/>
    <w:pPr>
      <w:spacing w:after="120" w:line="480" w:lineRule="auto"/>
      <w:ind w:left="420" w:leftChars="200"/>
    </w:pPr>
  </w:style>
  <w:style w:type="paragraph" w:styleId="14">
    <w:name w:val="Balloon Text"/>
    <w:basedOn w:val="1"/>
    <w:link w:val="47"/>
    <w:unhideWhenUsed/>
    <w:qFormat/>
    <w:uiPriority w:val="99"/>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Body Text First Indent 2"/>
    <w:basedOn w:val="8"/>
    <w:link w:val="56"/>
    <w:semiHidden/>
    <w:unhideWhenUsed/>
    <w:qFormat/>
    <w:uiPriority w:val="99"/>
    <w:pPr>
      <w:ind w:firstLine="420" w:firstLineChars="200"/>
    </w:p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rFonts w:ascii="Times New Roman" w:hAnsi="Times New Roman" w:eastAsia="黑体" w:cs="Calibri (西文正文)"/>
      <w:b/>
      <w:bCs/>
      <w:caps/>
      <w:sz w:val="28"/>
      <w:szCs w:val="20"/>
    </w:rPr>
  </w:style>
  <w:style w:type="paragraph" w:styleId="19">
    <w:name w:val="toc 4"/>
    <w:basedOn w:val="1"/>
    <w:next w:val="1"/>
    <w:unhideWhenUsed/>
    <w:qFormat/>
    <w:uiPriority w:val="39"/>
    <w:pPr>
      <w:ind w:left="630"/>
      <w:jc w:val="left"/>
    </w:pPr>
    <w:rPr>
      <w:rFonts w:cstheme="minorHAnsi"/>
      <w:sz w:val="18"/>
      <w:szCs w:val="18"/>
    </w:rPr>
  </w:style>
  <w:style w:type="paragraph" w:styleId="20">
    <w:name w:val="toc 6"/>
    <w:basedOn w:val="1"/>
    <w:next w:val="1"/>
    <w:unhideWhenUsed/>
    <w:qFormat/>
    <w:uiPriority w:val="39"/>
    <w:pPr>
      <w:ind w:left="1050"/>
      <w:jc w:val="left"/>
    </w:pPr>
    <w:rPr>
      <w:rFonts w:cstheme="minorHAnsi"/>
      <w:sz w:val="18"/>
      <w:szCs w:val="18"/>
    </w:rPr>
  </w:style>
  <w:style w:type="paragraph" w:styleId="21">
    <w:name w:val="toc 2"/>
    <w:basedOn w:val="1"/>
    <w:next w:val="1"/>
    <w:unhideWhenUsed/>
    <w:qFormat/>
    <w:uiPriority w:val="39"/>
    <w:pPr>
      <w:ind w:left="210"/>
      <w:jc w:val="left"/>
    </w:pPr>
    <w:rPr>
      <w:rFonts w:ascii="Times New Roman" w:hAnsi="Times New Roman" w:eastAsia="黑体" w:cs="Calibri (西文正文)"/>
      <w:b/>
      <w:smallCaps/>
      <w:sz w:val="28"/>
      <w:szCs w:val="20"/>
    </w:rPr>
  </w:style>
  <w:style w:type="paragraph" w:styleId="22">
    <w:name w:val="toc 9"/>
    <w:basedOn w:val="1"/>
    <w:next w:val="1"/>
    <w:unhideWhenUsed/>
    <w:qFormat/>
    <w:uiPriority w:val="39"/>
    <w:pPr>
      <w:ind w:left="1680"/>
      <w:jc w:val="left"/>
    </w:pPr>
    <w:rPr>
      <w:rFonts w:cstheme="minorHAnsi"/>
      <w:sz w:val="18"/>
      <w:szCs w:val="18"/>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5">
    <w:name w:val="Strong"/>
    <w:basedOn w:val="24"/>
    <w:qFormat/>
    <w:uiPriority w:val="22"/>
    <w:rPr>
      <w:rFonts w:asciiTheme="minorHAnsi" w:hAnsiTheme="minorHAnsi" w:eastAsiaTheme="minorEastAsia" w:cstheme="minorBidi"/>
      <w:b/>
      <w:bCs/>
      <w:kern w:val="2"/>
      <w:sz w:val="21"/>
      <w:szCs w:val="22"/>
      <w:lang w:val="en-US" w:eastAsia="zh-CN" w:bidi="ar-SA"/>
    </w:rPr>
  </w:style>
  <w:style w:type="character" w:styleId="26">
    <w:name w:val="FollowedHyperlink"/>
    <w:basedOn w:val="24"/>
    <w:unhideWhenUsed/>
    <w:qFormat/>
    <w:uiPriority w:val="99"/>
    <w:rPr>
      <w:color w:val="800080" w:themeColor="followedHyperlink"/>
      <w:u w:val="single"/>
      <w14:textFill>
        <w14:solidFill>
          <w14:schemeClr w14:val="folHlink"/>
        </w14:solidFill>
      </w14:textFill>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basedOn w:val="24"/>
    <w:unhideWhenUsed/>
    <w:qFormat/>
    <w:uiPriority w:val="99"/>
    <w:rPr>
      <w:sz w:val="21"/>
      <w:szCs w:val="21"/>
    </w:rPr>
  </w:style>
  <w:style w:type="character" w:customStyle="1" w:styleId="30">
    <w:name w:val="标题 1 Char"/>
    <w:basedOn w:val="24"/>
    <w:link w:val="2"/>
    <w:qFormat/>
    <w:uiPriority w:val="9"/>
    <w:rPr>
      <w:rFonts w:ascii="Times New Roman" w:hAnsi="Times New Roman" w:eastAsia="仿宋"/>
      <w:b/>
      <w:bCs/>
      <w:color w:val="000000" w:themeColor="text1"/>
      <w:kern w:val="44"/>
      <w:sz w:val="32"/>
      <w:szCs w:val="32"/>
      <w14:textFill>
        <w14:solidFill>
          <w14:schemeClr w14:val="tx1"/>
        </w14:solidFill>
      </w14:textFill>
    </w:rPr>
  </w:style>
  <w:style w:type="character" w:customStyle="1" w:styleId="31">
    <w:name w:val="文档结构图 Char"/>
    <w:basedOn w:val="24"/>
    <w:link w:val="7"/>
    <w:semiHidden/>
    <w:qFormat/>
    <w:uiPriority w:val="99"/>
    <w:rPr>
      <w:rFonts w:ascii="宋体" w:eastAsia="宋体"/>
      <w:sz w:val="18"/>
      <w:szCs w:val="18"/>
    </w:rPr>
  </w:style>
  <w:style w:type="character" w:customStyle="1" w:styleId="32">
    <w:name w:val="标题 2 Char"/>
    <w:basedOn w:val="24"/>
    <w:link w:val="3"/>
    <w:qFormat/>
    <w:uiPriority w:val="9"/>
    <w:rPr>
      <w:rFonts w:eastAsia="仿宋" w:asciiTheme="majorHAnsi" w:hAnsiTheme="majorHAnsi" w:cstheme="majorBidi"/>
      <w:b/>
      <w:bCs/>
      <w:kern w:val="2"/>
      <w:sz w:val="32"/>
      <w:szCs w:val="32"/>
    </w:rPr>
  </w:style>
  <w:style w:type="paragraph" w:customStyle="1" w:styleId="33">
    <w:name w:val="列表段落1"/>
    <w:basedOn w:val="1"/>
    <w:qFormat/>
    <w:uiPriority w:val="34"/>
    <w:pPr>
      <w:ind w:firstLine="420" w:firstLineChars="200"/>
    </w:pPr>
  </w:style>
  <w:style w:type="character" w:customStyle="1" w:styleId="34">
    <w:name w:val="页眉 Char"/>
    <w:basedOn w:val="24"/>
    <w:link w:val="17"/>
    <w:qFormat/>
    <w:uiPriority w:val="99"/>
    <w:rPr>
      <w:sz w:val="18"/>
      <w:szCs w:val="18"/>
    </w:rPr>
  </w:style>
  <w:style w:type="character" w:customStyle="1" w:styleId="35">
    <w:name w:val="页脚 Char"/>
    <w:basedOn w:val="24"/>
    <w:link w:val="15"/>
    <w:qFormat/>
    <w:uiPriority w:val="99"/>
    <w:rPr>
      <w:sz w:val="18"/>
      <w:szCs w:val="18"/>
    </w:rPr>
  </w:style>
  <w:style w:type="character" w:customStyle="1" w:styleId="36">
    <w:name w:val="批注文字 Char"/>
    <w:basedOn w:val="24"/>
    <w:link w:val="5"/>
    <w:qFormat/>
    <w:uiPriority w:val="99"/>
  </w:style>
  <w:style w:type="character" w:customStyle="1" w:styleId="37">
    <w:name w:val="批注主题 Char"/>
    <w:basedOn w:val="36"/>
    <w:link w:val="4"/>
    <w:semiHidden/>
    <w:qFormat/>
    <w:uiPriority w:val="99"/>
    <w:rPr>
      <w:b/>
      <w:bCs/>
    </w:rPr>
  </w:style>
  <w:style w:type="paragraph" w:customStyle="1" w:styleId="38">
    <w:name w:val="正文格式"/>
    <w:basedOn w:val="1"/>
    <w:link w:val="39"/>
    <w:qFormat/>
    <w:uiPriority w:val="0"/>
    <w:pPr>
      <w:adjustRightInd w:val="0"/>
      <w:snapToGrid w:val="0"/>
      <w:spacing w:line="360" w:lineRule="auto"/>
      <w:ind w:firstLine="480" w:firstLineChars="200"/>
    </w:pPr>
    <w:rPr>
      <w:rFonts w:ascii="Times New Roman" w:hAnsi="Times New Roman" w:eastAsia="宋体" w:cs="Times New Roman"/>
      <w:sz w:val="24"/>
      <w:szCs w:val="24"/>
    </w:rPr>
  </w:style>
  <w:style w:type="character" w:customStyle="1" w:styleId="39">
    <w:name w:val="正文格式 字符"/>
    <w:basedOn w:val="24"/>
    <w:link w:val="38"/>
    <w:qFormat/>
    <w:uiPriority w:val="0"/>
    <w:rPr>
      <w:rFonts w:ascii="Times New Roman" w:hAnsi="Times New Roman" w:eastAsia="宋体" w:cs="Times New Roman"/>
      <w:sz w:val="24"/>
      <w:szCs w:val="24"/>
    </w:rPr>
  </w:style>
  <w:style w:type="character" w:customStyle="1" w:styleId="40">
    <w:name w:val="正文文本缩进 2 Char"/>
    <w:basedOn w:val="24"/>
    <w:link w:val="13"/>
    <w:qFormat/>
    <w:uiPriority w:val="99"/>
  </w:style>
  <w:style w:type="character" w:customStyle="1" w:styleId="41">
    <w:name w:val="正文文本缩进 Char"/>
    <w:basedOn w:val="24"/>
    <w:link w:val="8"/>
    <w:semiHidden/>
    <w:qFormat/>
    <w:uiPriority w:val="99"/>
  </w:style>
  <w:style w:type="paragraph" w:customStyle="1" w:styleId="42">
    <w:name w:val="列表段落2"/>
    <w:basedOn w:val="1"/>
    <w:qFormat/>
    <w:uiPriority w:val="34"/>
    <w:pPr>
      <w:ind w:firstLine="420" w:firstLineChars="200"/>
    </w:pPr>
    <w:rPr>
      <w:szCs w:val="24"/>
    </w:rPr>
  </w:style>
  <w:style w:type="paragraph" w:customStyle="1" w:styleId="4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5">
    <w:name w:val="hitclass"/>
    <w:basedOn w:val="24"/>
    <w:qFormat/>
    <w:uiPriority w:val="0"/>
  </w:style>
  <w:style w:type="character" w:customStyle="1" w:styleId="46">
    <w:name w:val="navtiao"/>
    <w:basedOn w:val="24"/>
    <w:qFormat/>
    <w:uiPriority w:val="0"/>
  </w:style>
  <w:style w:type="character" w:customStyle="1" w:styleId="47">
    <w:name w:val="批注框文本 Char"/>
    <w:basedOn w:val="24"/>
    <w:link w:val="14"/>
    <w:semiHidden/>
    <w:qFormat/>
    <w:uiPriority w:val="99"/>
    <w:rPr>
      <w:sz w:val="18"/>
      <w:szCs w:val="18"/>
    </w:rPr>
  </w:style>
  <w:style w:type="character" w:customStyle="1" w:styleId="48">
    <w:name w:val="日期 Char"/>
    <w:basedOn w:val="24"/>
    <w:link w:val="12"/>
    <w:semiHidden/>
    <w:qFormat/>
    <w:uiPriority w:val="99"/>
  </w:style>
  <w:style w:type="character" w:customStyle="1" w:styleId="49">
    <w:name w:val="未处理的提及1"/>
    <w:basedOn w:val="24"/>
    <w:unhideWhenUsed/>
    <w:qFormat/>
    <w:uiPriority w:val="99"/>
    <w:rPr>
      <w:color w:val="605E5C"/>
      <w:shd w:val="clear" w:color="auto" w:fill="E1DFDD"/>
    </w:rPr>
  </w:style>
  <w:style w:type="paragraph" w:styleId="50">
    <w:name w:val="List Paragraph"/>
    <w:basedOn w:val="1"/>
    <w:qFormat/>
    <w:uiPriority w:val="34"/>
    <w:pPr>
      <w:ind w:firstLine="420" w:firstLineChars="200"/>
    </w:pPr>
  </w:style>
  <w:style w:type="paragraph" w:customStyle="1" w:styleId="5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2">
    <w:name w:val="Unresolved Mention"/>
    <w:basedOn w:val="24"/>
    <w:semiHidden/>
    <w:unhideWhenUsed/>
    <w:qFormat/>
    <w:uiPriority w:val="99"/>
    <w:rPr>
      <w:color w:val="605E5C"/>
      <w:shd w:val="clear" w:color="auto" w:fill="E1DFDD"/>
    </w:rPr>
  </w:style>
  <w:style w:type="character" w:customStyle="1" w:styleId="53">
    <w:name w:val="currenthit"/>
    <w:basedOn w:val="24"/>
    <w:qFormat/>
    <w:uiPriority w:val="0"/>
  </w:style>
  <w:style w:type="paragraph" w:customStyle="1" w:styleId="5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5">
    <w:name w:val="Intense Reference"/>
    <w:basedOn w:val="24"/>
    <w:qFormat/>
    <w:uiPriority w:val="32"/>
    <w:rPr>
      <w:b/>
      <w:bCs/>
      <w:smallCaps/>
      <w:color w:val="4F81BD" w:themeColor="accent1"/>
      <w:spacing w:val="5"/>
      <w14:textFill>
        <w14:solidFill>
          <w14:schemeClr w14:val="accent1"/>
        </w14:solidFill>
      </w14:textFill>
    </w:rPr>
  </w:style>
  <w:style w:type="character" w:customStyle="1" w:styleId="56">
    <w:name w:val="正文首行缩进 2 Char"/>
    <w:basedOn w:val="41"/>
    <w:link w:val="16"/>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AF024-5213-4E5F-80B2-17E57FFAD6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4605</Words>
  <Characters>26253</Characters>
  <Lines>218</Lines>
  <Paragraphs>61</Paragraphs>
  <TotalTime>7</TotalTime>
  <ScaleCrop>false</ScaleCrop>
  <LinksUpToDate>false</LinksUpToDate>
  <CharactersWithSpaces>30797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2021-04-22T06:48:00Z</dcterms:created>
  <dc:creator>XZD</dc:creator>
  <cp:lastModifiedBy>dell1</cp:lastModifiedBy>
  <cp:lastPrinted>2021-04-23T09:12:00Z</cp:lastPrinted>
  <dcterms:modified xsi:type="dcterms:W3CDTF">2021-06-17T07:53:00Z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