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bookmarkStart w:id="14" w:name="_GoBack"/>
      <w:bookmarkEnd w:id="14"/>
    </w:p>
    <w:p>
      <w:pPr>
        <w:keepNext w:val="0"/>
        <w:keepLines w:val="0"/>
        <w:pageBreakBefore w:val="0"/>
        <w:widowControl/>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《厦门经济特区体育设施建设与管理规定（</w:t>
      </w:r>
      <w:r>
        <w:rPr>
          <w:rFonts w:hint="eastAsia" w:ascii="方正小标宋简体" w:hAnsi="方正小标宋简体" w:eastAsia="方正小标宋简体" w:cs="方正小标宋简体"/>
          <w:b w:val="0"/>
          <w:bCs w:val="0"/>
          <w:sz w:val="44"/>
          <w:szCs w:val="44"/>
          <w:lang w:eastAsia="zh-CN"/>
        </w:rPr>
        <w:t>送审稿</w:t>
      </w:r>
      <w:r>
        <w:rPr>
          <w:rFonts w:hint="eastAsia" w:ascii="方正小标宋简体" w:hAnsi="方正小标宋简体" w:eastAsia="方正小标宋简体" w:cs="方正小标宋简体"/>
          <w:b w:val="0"/>
          <w:bCs w:val="0"/>
          <w:sz w:val="44"/>
          <w:szCs w:val="44"/>
        </w:rPr>
        <w:t>）》起草说明</w:t>
      </w:r>
    </w:p>
    <w:p>
      <w:pPr>
        <w:keepNext w:val="0"/>
        <w:keepLines w:val="0"/>
        <w:pageBreakBefore w:val="0"/>
        <w:widowControl/>
        <w:kinsoku/>
        <w:wordWrap/>
        <w:overflowPunct/>
        <w:topLinePunct w:val="0"/>
        <w:autoSpaceDE/>
        <w:autoSpaceDN/>
        <w:bidi w:val="0"/>
        <w:adjustRightInd/>
        <w:spacing w:line="580" w:lineRule="exact"/>
        <w:ind w:firstLine="706" w:firstLineChars="220"/>
        <w:textAlignment w:val="auto"/>
        <w:rPr>
          <w:rFonts w:hint="eastAsia" w:ascii="仿宋" w:hAnsi="仿宋" w:eastAsia="仿宋"/>
          <w:b/>
          <w:bCs/>
          <w:sz w:val="32"/>
          <w:szCs w:val="32"/>
        </w:rPr>
      </w:pP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厦门市2025年制定法规、规章的相关计划，厦门市体育局已完成《厦门经济特区体育设施建设与保护规定》（以下简称《规定》）的制定，并形成了《厦门经济特区体育设施建设与管理规定（草案）》（以下简称《草案》）以及相关立法调研报告。现就《草案》作如下说明。</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一、立法的必要性</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自实施以来，为我市体育设施建设和保护以及我市体育事业的发展提供了有力保障。但是，自《规定》制定至今已有二十余年，随着市场经济环境下我市体育设施的建设、管理、运营模式的不断转变，《规定》与我市实际情况不相匹配的情况日益凸显，亟需对《规定》进行整体修订。</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0" w:name="_Toc207573425"/>
      <w:r>
        <w:rPr>
          <w:rFonts w:hint="eastAsia" w:ascii="仿宋_GB2312" w:hAnsi="仿宋_GB2312" w:eastAsia="仿宋_GB2312" w:cs="仿宋_GB2312"/>
          <w:b/>
          <w:bCs/>
          <w:sz w:val="32"/>
          <w:szCs w:val="32"/>
        </w:rPr>
        <w:t>（一）体育设施的概念与分类应当结合上位法</w:t>
      </w:r>
      <w:bookmarkEnd w:id="0"/>
      <w:r>
        <w:rPr>
          <w:rFonts w:hint="eastAsia" w:ascii="仿宋_GB2312" w:hAnsi="仿宋_GB2312" w:eastAsia="仿宋_GB2312" w:cs="仿宋_GB2312"/>
          <w:b/>
          <w:bCs/>
          <w:sz w:val="32"/>
          <w:szCs w:val="32"/>
        </w:rPr>
        <w:t>进行修改</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公共体育设施”的概念应当凸显“公益性”要件。按照国务院《公共文化体育设施条例》第二条规定与第六条之规定，“公共文化体育设施”的核心要件是“公益性”，其投资主体并不局限于“政府投资或者政府筹集社会资金兴建”。“公共体育设施”作为“公共文化体育设施”的下位概念，其定义应当符合该行政法规并凸显“公益性”这一要件。二是体育设施的分类应当涵盖“经营性体育设施”。</w:t>
      </w:r>
      <w:bookmarkStart w:id="1" w:name="_Hlk176531408"/>
      <w:r>
        <w:rPr>
          <w:rFonts w:hint="eastAsia" w:ascii="仿宋_GB2312" w:hAnsi="仿宋_GB2312" w:eastAsia="仿宋_GB2312" w:cs="仿宋_GB2312"/>
          <w:sz w:val="32"/>
          <w:szCs w:val="32"/>
        </w:rPr>
        <w:t>从概念的语义对应性观察，与“公共体育设施”相对应的概念，应当是“经营性体育设施”，即与“公益性”相对应的是“经营性”。</w:t>
      </w:r>
      <w:bookmarkEnd w:id="1"/>
      <w:r>
        <w:rPr>
          <w:rFonts w:hint="eastAsia" w:ascii="仿宋_GB2312" w:hAnsi="仿宋_GB2312" w:eastAsia="仿宋_GB2312" w:cs="仿宋_GB2312"/>
          <w:sz w:val="32"/>
          <w:szCs w:val="32"/>
        </w:rPr>
        <w:t>“单位自用体育设施”则是在“公共体育设施”“经营性体育设施”之外的独立概念，其核心要件是主要为了满足“特定人群”的体育活动需求，而非面向社会一般公众的“公益性”，亦非追求利润为目的的“经营性”。</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2" w:name="_Toc207573426"/>
      <w:r>
        <w:rPr>
          <w:rFonts w:hint="eastAsia" w:ascii="仿宋_GB2312" w:hAnsi="仿宋_GB2312" w:eastAsia="仿宋_GB2312" w:cs="仿宋_GB2312"/>
          <w:b/>
          <w:bCs/>
          <w:sz w:val="32"/>
          <w:szCs w:val="32"/>
        </w:rPr>
        <w:t>（二）我市新型体育设施的发展</w:t>
      </w:r>
      <w:bookmarkEnd w:id="2"/>
      <w:r>
        <w:rPr>
          <w:rFonts w:hint="eastAsia" w:ascii="仿宋_GB2312" w:hAnsi="仿宋_GB2312" w:eastAsia="仿宋_GB2312" w:cs="仿宋_GB2312"/>
          <w:b/>
          <w:bCs/>
          <w:sz w:val="32"/>
          <w:szCs w:val="32"/>
        </w:rPr>
        <w:t>需要对单一归口管理模式进行变革</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诸如“山海健康步道”“体育公园”等新型文化体育设施在我市不断涌现，其兼具文化与体育的双重属性，多元建设主体与运营主体呈现多元化，《规定》所规定的单一归口管理模式，已经不再符合我市文化体育事业的发展需要。</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3" w:name="_Toc207573427"/>
      <w:r>
        <w:rPr>
          <w:rFonts w:hint="eastAsia" w:ascii="仿宋_GB2312" w:hAnsi="仿宋_GB2312" w:eastAsia="仿宋_GB2312" w:cs="仿宋_GB2312"/>
          <w:b/>
          <w:bCs/>
          <w:sz w:val="32"/>
          <w:szCs w:val="32"/>
        </w:rPr>
        <w:t>（三）传统机制下保障公共体育设施“公益性”的方式</w:t>
      </w:r>
      <w:bookmarkEnd w:id="3"/>
      <w:r>
        <w:rPr>
          <w:rFonts w:hint="eastAsia" w:ascii="仿宋_GB2312" w:hAnsi="仿宋_GB2312" w:eastAsia="仿宋_GB2312" w:cs="仿宋_GB2312"/>
          <w:b/>
          <w:bCs/>
          <w:sz w:val="32"/>
          <w:szCs w:val="32"/>
        </w:rPr>
        <w:t>需要予以调整</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期以来，我市保障公共体育设施的“公益性”主要采取以下两种主要方式：一是在公共体育设施建成后，通常交由财政拨款的事业单位进行运营，二是由物价部门对其定价实施审核。但上述两种方式已基本无法继续适用。其主要原因主要有两点，一是我市公共体育设施尤其是大型公共体育场馆的运营方式已经全面转向市场化。二是我市物价部门已不再继续对公共体育设施的定价实施审批，而改为实施市场定价。</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4" w:name="_Toc207573428"/>
      <w:r>
        <w:rPr>
          <w:rFonts w:hint="eastAsia" w:ascii="仿宋_GB2312" w:hAnsi="仿宋_GB2312" w:eastAsia="仿宋_GB2312" w:cs="仿宋_GB2312"/>
          <w:b/>
          <w:bCs/>
          <w:sz w:val="32"/>
          <w:szCs w:val="32"/>
        </w:rPr>
        <w:t>（四）</w:t>
      </w:r>
      <w:bookmarkStart w:id="5" w:name="_Hlk182850180"/>
      <w:r>
        <w:rPr>
          <w:rFonts w:hint="eastAsia" w:ascii="仿宋_GB2312" w:hAnsi="仿宋_GB2312" w:eastAsia="仿宋_GB2312" w:cs="仿宋_GB2312"/>
          <w:b/>
          <w:bCs/>
          <w:sz w:val="32"/>
          <w:szCs w:val="32"/>
        </w:rPr>
        <w:t>市场机制下公共体育设施“公益性”与“经营性”的矛盾</w:t>
      </w:r>
      <w:bookmarkEnd w:id="4"/>
      <w:bookmarkEnd w:id="5"/>
      <w:r>
        <w:rPr>
          <w:rFonts w:hint="eastAsia" w:ascii="仿宋_GB2312" w:hAnsi="仿宋_GB2312" w:eastAsia="仿宋_GB2312" w:cs="仿宋_GB2312"/>
          <w:b/>
          <w:bCs/>
          <w:sz w:val="32"/>
          <w:szCs w:val="32"/>
        </w:rPr>
        <w:t>需要予以回应</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目前，我市主要体育场馆均按照国家专业赛事标准建造，其既具备公益性（能满足广大群众的体育锻炼需求），又具备一定的经营性（能满足部分专业赛事以及一定规模的商演等活动）。我市公共体育设施运营过程的中“公益性”与“经营性”的矛盾已逐步开始显现。一是我市大型公共体育场馆维保成本较高；二是我市大型公共体育场馆提供的公共体育服务仍维持在低免价位。虽然我市主要体育场馆已经基本实现市场化运营与自主定价，但所有场馆为确保其“公益性”，其向公众提供的公共体育服务的价格，均以厦门市体育中心的定价为参照；三是部分大型公共体育场馆获取国家层面的补助存在一定障碍。根据《公共体育场馆向社会免费或低收费开放补助资金管理办法》，对于符合开放面积条件、年接待人次等要求的体育场馆可以申领中央财政的补助，但该办法将获得补助的公共体育场馆限定为“各地体育行政部门所属”。因此，产权不属于体育行政部门的场馆，即使符合相关标准，也无法获得补助；四是少数大型公共体育场馆在设计上存在影响运营的不便因素。</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机制下公共体育设施“公益性”与“经营性”的矛盾，源于“公益性”所要求的“保本微利”与“经营性”所要求的“保值增值”之间的矛盾。目前我市主要大型体育场馆对于全民健身等“公益性”活动的收支情况，基本处于负盈利状态。如何使</w:t>
      </w:r>
      <w:bookmarkStart w:id="6" w:name="_Hlk177219009"/>
      <w:r>
        <w:rPr>
          <w:rFonts w:hint="eastAsia" w:ascii="仿宋_GB2312" w:hAnsi="仿宋_GB2312" w:eastAsia="仿宋_GB2312" w:cs="仿宋_GB2312"/>
          <w:sz w:val="32"/>
          <w:szCs w:val="32"/>
        </w:rPr>
        <w:t>我市大型公共体育设施通过经营性活动“反哺”其公益性，而非“反噬”其公益性</w:t>
      </w:r>
      <w:bookmarkEnd w:id="6"/>
      <w:r>
        <w:rPr>
          <w:rFonts w:hint="eastAsia" w:ascii="仿宋_GB2312" w:hAnsi="仿宋_GB2312" w:eastAsia="仿宋_GB2312" w:cs="仿宋_GB2312"/>
          <w:sz w:val="32"/>
          <w:szCs w:val="32"/>
        </w:rPr>
        <w:t>，亟待通过本次立法予以解决。</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7" w:name="_Toc207573429"/>
      <w:r>
        <w:rPr>
          <w:rFonts w:hint="eastAsia" w:ascii="仿宋_GB2312" w:hAnsi="仿宋_GB2312" w:eastAsia="仿宋_GB2312" w:cs="仿宋_GB2312"/>
          <w:b/>
          <w:bCs/>
          <w:sz w:val="32"/>
          <w:szCs w:val="32"/>
        </w:rPr>
        <w:t>（五）以列举方式规定的公共体育设施的用地定额指标已</w:t>
      </w:r>
      <w:bookmarkEnd w:id="7"/>
      <w:r>
        <w:rPr>
          <w:rFonts w:hint="eastAsia" w:ascii="仿宋_GB2312" w:hAnsi="仿宋_GB2312" w:eastAsia="仿宋_GB2312" w:cs="仿宋_GB2312"/>
          <w:b/>
          <w:bCs/>
          <w:sz w:val="32"/>
          <w:szCs w:val="32"/>
        </w:rPr>
        <w:t>经滞后</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我市经济发展以及城市建设水平的提升，《规定》中的指标已不再符合我市的实际情况。市政府印发的《全民健身实施计划（2021-2025年）》当中所规划的用地指标，已经完全超越了《规定》中的数值指标。随着我市体育事业的不断发展，未来若干年，上述指标仍然有提升的空间。</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8" w:name="_Toc207573430"/>
      <w:r>
        <w:rPr>
          <w:rFonts w:hint="eastAsia" w:ascii="仿宋_GB2312" w:hAnsi="仿宋_GB2312" w:eastAsia="仿宋_GB2312" w:cs="仿宋_GB2312"/>
          <w:b/>
          <w:bCs/>
          <w:sz w:val="32"/>
          <w:szCs w:val="32"/>
        </w:rPr>
        <w:t>（六）机构改革后</w:t>
      </w:r>
      <w:bookmarkStart w:id="9" w:name="_Hlk182864813"/>
      <w:r>
        <w:rPr>
          <w:rFonts w:hint="eastAsia" w:ascii="仿宋_GB2312" w:hAnsi="仿宋_GB2312" w:eastAsia="仿宋_GB2312" w:cs="仿宋_GB2312"/>
          <w:b/>
          <w:bCs/>
          <w:sz w:val="32"/>
          <w:szCs w:val="32"/>
        </w:rPr>
        <w:t>体育行政部门与相关部门</w:t>
      </w:r>
      <w:bookmarkEnd w:id="9"/>
      <w:r>
        <w:rPr>
          <w:rFonts w:hint="eastAsia" w:ascii="仿宋_GB2312" w:hAnsi="仿宋_GB2312" w:eastAsia="仿宋_GB2312" w:cs="仿宋_GB2312"/>
          <w:b/>
          <w:bCs/>
          <w:sz w:val="32"/>
          <w:szCs w:val="32"/>
        </w:rPr>
        <w:t>的</w:t>
      </w:r>
      <w:bookmarkEnd w:id="8"/>
      <w:r>
        <w:rPr>
          <w:rFonts w:hint="eastAsia" w:ascii="仿宋_GB2312" w:hAnsi="仿宋_GB2312" w:eastAsia="仿宋_GB2312" w:cs="仿宋_GB2312"/>
          <w:b/>
          <w:bCs/>
          <w:sz w:val="32"/>
          <w:szCs w:val="32"/>
        </w:rPr>
        <w:t>职责条款需要修改</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市机构改革之后，原先属于我市体育行政部门的行政执法权将主要由文化和旅游部门、海洋发展部门行使。在此背景下，如何科学设置我市体育行政部门对于我市体育设施的管理职责，以及如何界定市、区两级体育行政部门各自的职责，有待本次立法予以规定。</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10" w:name="_Toc207573431"/>
      <w:r>
        <w:rPr>
          <w:rFonts w:hint="eastAsia" w:ascii="仿宋_GB2312" w:hAnsi="仿宋_GB2312" w:eastAsia="仿宋_GB2312" w:cs="仿宋_GB2312"/>
          <w:b/>
          <w:bCs/>
          <w:sz w:val="32"/>
          <w:szCs w:val="32"/>
        </w:rPr>
        <w:t>（七）鼓励单位自用体育设施向公众开放的规定应当予以</w:t>
      </w:r>
      <w:bookmarkEnd w:id="10"/>
      <w:r>
        <w:rPr>
          <w:rFonts w:hint="eastAsia" w:ascii="仿宋_GB2312" w:hAnsi="仿宋_GB2312" w:eastAsia="仿宋_GB2312" w:cs="仿宋_GB2312"/>
          <w:b/>
          <w:bCs/>
          <w:sz w:val="32"/>
          <w:szCs w:val="32"/>
        </w:rPr>
        <w:t>细化</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我市大力推动学校体育设施对公众开放，目前已开放学校达183所，累计入场锻炼超1000万人次。对于我市已经形成的学校体育场地设施系统性开放经验，本次立法应当予以归纳总结，并进一步推广到其他相关单位，提升“单位自用体育设施”、尤其是财政拨款建设的各类学校体育设施的开放程度与公众利用率。《规定》中的相关条款较为原则，应当予以细化。</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11" w:name="_Toc207573432"/>
      <w:r>
        <w:rPr>
          <w:rFonts w:hint="eastAsia" w:ascii="仿宋_GB2312" w:hAnsi="仿宋_GB2312" w:eastAsia="仿宋_GB2312" w:cs="仿宋_GB2312"/>
          <w:b/>
          <w:bCs/>
          <w:sz w:val="32"/>
          <w:szCs w:val="32"/>
        </w:rPr>
        <w:t>（八）体育设施管理者与运营者的安全义务与相应机制亟待补充和完善</w:t>
      </w:r>
      <w:bookmarkEnd w:id="11"/>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目前，我市具有各类体育场地17009个，场地面积1833.70万平方米。随着</w:t>
      </w:r>
      <w:bookmarkStart w:id="12" w:name="_Hlk177135452"/>
      <w:r>
        <w:rPr>
          <w:rFonts w:hint="eastAsia" w:ascii="仿宋_GB2312" w:hAnsi="仿宋_GB2312" w:eastAsia="仿宋_GB2312" w:cs="仿宋_GB2312"/>
          <w:sz w:val="32"/>
          <w:szCs w:val="32"/>
        </w:rPr>
        <w:t>我市公共体育设施、尤其是大型公共体育场馆的</w:t>
      </w:r>
      <w:bookmarkEnd w:id="12"/>
      <w:r>
        <w:rPr>
          <w:rFonts w:hint="eastAsia" w:ascii="仿宋_GB2312" w:hAnsi="仿宋_GB2312" w:eastAsia="仿宋_GB2312" w:cs="仿宋_GB2312"/>
          <w:sz w:val="32"/>
          <w:szCs w:val="32"/>
        </w:rPr>
        <w:t>不断增多，所带来的安全隐患已经开始显现。尤其是随着全民健身的兴起，公共体育场馆的入场人数迅速上升，所产生的人身伤害风险、疾病突发概率也同步呈现上升的趋势。如何尽量避免和防范并及时处置此类事件，最大限度保障公众的生命健康，亟需对体育设施尤其是大型公共体育的安全管理机制与应急医疗救护方案的义务做出规定。</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bookmarkStart w:id="13" w:name="_Toc207573433"/>
      <w:r>
        <w:rPr>
          <w:rFonts w:hint="eastAsia" w:ascii="仿宋_GB2312" w:hAnsi="仿宋_GB2312" w:eastAsia="仿宋_GB2312" w:cs="仿宋_GB2312"/>
          <w:b/>
          <w:bCs/>
          <w:sz w:val="32"/>
          <w:szCs w:val="32"/>
        </w:rPr>
        <w:t>（九）《规定》中的相关法律责任条款需要根据上位法进行修改</w:t>
      </w:r>
      <w:bookmarkEnd w:id="13"/>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随着上位法的修改，《规定》第十八条、第二十条等条款与《体育法》第一百一十四条、《公共文化体育设施条例》第三十一条规定已不相符。</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二、《草案》的制定过程</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政府立法计划，作为《草案》起草单位的市体育局组建了专门立法课题组，坚持以解决实际问题为导向，以《中华人民共和国体育法》《公共文化体育设施条例》《全民健身条例》为依据，参考《北京市体育设施管理条例》《上海市体育设施管理办法》《浙江省公共体育设施管理办法》等地方立法经验，结合我市实际，做好《草案》起草工作。2025年，市体育局在2024年课题成果的基础上继续进行修改与完善，深入调研并广泛征求意见，一是多次走访我市公共体育场馆以及相关单位，征求各方意见和建议；二是多次召开市、区各级体育行政部门与相关单位座谈会，征询意见、建议；三是公开向社会公众征求草案的意见、建议。最终于2025年11月形成了《草案》并报送司法局审查。</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三、《草案》的主要内容</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《草案》共计二十七条。与《规定》共计二十三条相比较，总体篇幅变动较小，但在内容方面做出了较大调整，具体体现在以下方面。</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（一）结合我市实际情况重新定义体育设施的概念与分类</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《草案》将体育设施分为“公共体育设施”“经营性体育设施”与“单位自用体育设施”（第二条第一款）。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根据《公共文化体育设施条例》的相关条款，《草案》对公共体育设施的概念进行了重新界定，对其核心构成要素“公益性”予以明确（第二条第二款）。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公共体育设施”相对应的概念，是“经营性体育设施”，“公共体育设施”应当以“公益性”为核心，而以“经营性”为核心的“经营性体育设施”，其公益性应当以鼓励为主。为此，《草案》鼓励经营性体育设施向社会公益性开放，政府可以对此予以相应的支持（第十九条第一款），同时鼓励经营性体育设施在全民健身日向公众免费开放（第十九条第二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虑到“经营性体育设施”的概念在实务中表现形式复杂多样难以精确界定，且《草案》所规范的主要是“公共体育设施”与“单位自用体育设施”，考察其他地区的立法例也鲜见对此概念作出界定，因此《草案》并未针对“经营性体育设施”作出明确定义。</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对于满足特定人群体育锻炼需求的“单位自用体育设施”，《草案》也对其进行了重新界定（第二条第三款）。</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（二）鼓励社会资本参与我市体育设施的建设和运营</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充分调动社会力量参与建设我市体育设施的积极性，《草案》对鼓励社会力量参与我市体育设施建设和运营作出了积极回应。《草案》规定鼓励社会力量参与本市体育设施的建设和运营，对于投入非财政资金新建、扩建、更新改造或者运营本市体育设施的，可以按照相关条件与标准获得财政性补助资金（第十一条第一款），同时《草案》对于财政性补助资金的监督检查、获得财政性补助资金的条件与标准等事宜作出了原则性规定（第十一条第二款、第三款）。</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（三）积极回应新型体育设施的发展趋势</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回应新型体育设施投资主体多元、管理模式多元的趋势，《草案》鼓励依托本市山海资源特色与体育产业优势兴建新型体育设施，并由市人民政府依法确定新型体育设施的主管部门与建设规划部门（第四条）。</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（四）统筹协调市场机制下公共体育设施的“公益性”与“经营性”</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依据上位法的要求，坚持公共体育设施的公益性。根据国务院《公共文化体育设施条例》的相关要求，《草案》在数个条款中均凸显了公共体育设施的“公益性”属性，《草案》要求公共体育设施应当向公众开放、保持公益性，并对学生、老年人、残疾人等群体提供必要的便利与优惠（第十三条第一款），同时《草案》对公共体育设施的公共服务规范做出了规定（第十三条第二款）。此外，《草案》在硬件设施方面，要求公共体育设施的主体部分应当主要用于体育活动，特殊情况下且经过批准方可用于非体育活动（第十四条第一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顺应市场化的趋势，实现公共体育设施经营性“反哺”公益性。首先，在制度层面，对我市已经普遍实行的大型公共体育设施市场化、专业化运营模式予以确认，并要求公共体育设施的业主单位和管理者应当在确保公共体育设施公益性的基础上，积极推进机制创新。鼓励依法通过市场化机制选择公共体育设施的专业运营主体，提升公共体育设施提供公共体育服务的功能和效率（第十三条第三款）。其次，在硬件设施层面，兼顾其经营功能的转换与便利性。《草案》规定公共体育设施中的配套部分，可以在不影响主体部分的功能和用途情况下，根据规划和功能定位进行开发利用（第十四条第二款）。同时《草案》还注重解决大型公共体育场馆的设计过程中对场馆/场地的商业利用（经营类项目）和全民健身（公益类项目）之间的便捷转换，要求新建、改建和扩建的公共体育设施，在设计阶段就应当在确保实现公益功能的基础上兼顾运营功能的转换与便利（第九条第一款）。</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（五）通过“动态平衡补偿机制”规定公共体育设施的用地定额指标</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案》不再采取原《规定》的明确列举数值指标方式，而是规定按照本市相关规划所确定的公共体育设施用地定额指标，建设公共体育设施。同时，根据住房和城乡建设部《完整居住社区建设标准（试行）》中有关体育健身活动场地的内容，加入了“相关建设标准”的表述（第八条第一款）。由于我市各区的人口和土地比例不同，也鉴于我市城乡差异较小、我市行政区域内的交通可达性较强，《草案》建立了公共体育设施用地定额指标动态平衡补偿机制（第八条第二款）。</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（六）调整涉及公共体育设施建设规划的相关条款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公共体育设施的建设规划层面，《草案》相比于原《规定》增加了“体育用地”的表述（第九条第一款）。同时，根据《体育法》之规定，对于经批准拆除公共体育设施或者改变其功能、用途的，《草案》规定应当依据相关规定先行择地重建（第九条第二款）。</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（七）结合我市机构改革重新调整相关行政部门的权责</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明确市、区两级体育行政部门的权责。鉴于我市在市级设立单独的体育行政部门，而在区级则主要与文化旅游部门合并成局、内设体育科，且配备相应的文化旅游体育执法队伍的实际情况，《草案》规定市级体育行政部门应当主要负责《草案》的组织实施以及监督检查，各区体育行政部门则应当在各区依据《草案》进行具体的实施工作（第三条第一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明确我市体育行政执法权主体。我市机构改革后，原先属于我市体育行政部门的行政处罚权将主要由文化和旅游部门、海洋发展部门行使。我市体育行政部门对于体育设施的管理，则主要集中在行政许可、行政检查与行政监督等方面。为此，《草案》规定体育行政部门、承担体育行政处罚职能的部门，以及按照本规定对体育设施负有监督管理职责的部门均有权采取监督检查措施（第二十二条）；对于体育设施的管理者与运营者的违法行为，则由体育行政部门或者承担体育行政处罚职能的部门责令限期改正（第二十四条第一款）；而对于作出体育行政处罚的主体，则规定由承担体育行政处罚职能的部门作出行政处罚（第二十四条第一款）。</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（八）总结提升单位自用体育设施向公众开放的经验与机制</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我市已经形成的中小学校体育场地设施系统性开放经验，《草案》以法规形式予以确认，并对原《规定》的相关内容予以细化，对于支持措施、收费标准、制定相关制度等方面做出了具体规定（第十六条、第十七条、第十八条）。</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（九）鼓励建立前端健康风险筛查机制</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降低公众在体育场馆内发生的健康风险和疾病突发概率，同时督促体育设施的管理者和经营者切实履行注意义务，《草案》规定了前端健康风险筛查机制。考虑到此机制通过法规方式予以确立，在国内尚属首次，实务中欠缺相应的经验积累，因此《草案》对此机制的建立以鼓励为主（第二十条）。</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（十）提升体育设施的安全管理水平并建立相应配套机制</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对法律、法规、规章规定的禁止性规定进行细化与补充。《体育法》《公共文化体育设施条例》等上位法律法规，国家体育总局的相关部门规章，以及我省相关法规、规章，已经对涉及体育设施及体育项目经营的各类违法行为作出了禁止性规定。但是，2022年《体育法》修改之后，上述法规、规章的部分内容出现了与《体育法》不一致而无法适用的情况，其相应的修订工作尚待进行。为此，《草案》结合我市实际，对于体育设施的管理者与运营者行为的禁止性规定进行了细化与补充（第二十三条）。</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在上述细化与补充禁止性规定的基础上，规定其法律责任。为了明确禁止性规定的细化与补充属性，《草案》规定违反本规定第二十三条，法律、法规、规章已规定法律责任的，从其规定（第二十四条第二款）。在此基础上，《草案》规定了相应的法律责任（第二十四条第一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体育行政部门与相关部门的安全监督检查措施作出明确授权。《草案》结合体育行政管理实务中的需要，规定了相关部门在对体育设施履行监督管理职责时有权采取的检查措施（第二十二条第一款），同时规定了监督检查信息共享机制（第二十二条第二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四是对使用体育设施经营高危险性体育项目作出专门规定，要求经营者应当符合法定条件并依法取得许可证（第二十一条）。</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（十一）建立我市体育设施数据库</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多种形态的新型体育设施涌现，以及归口管理主体不同等因素，加之原《规定》并未明确体育设施登记备案的责任主体，导致我市体育行政部门难以取得和统计体育设施的详细情况与数量。为此，《草案》规定了我市体育设施数据库的建立并对其定期更新，以及相关单位的配合职责（第十二条）。</w:t>
      </w:r>
    </w:p>
    <w:p>
      <w:pPr>
        <w:keepNext w:val="0"/>
        <w:keepLines w:val="0"/>
        <w:pageBreakBefore w:val="0"/>
        <w:widowControl/>
        <w:kinsoku/>
        <w:wordWrap/>
        <w:overflowPunct/>
        <w:topLinePunct w:val="0"/>
        <w:autoSpaceDE/>
        <w:autoSpaceDN/>
        <w:bidi w:val="0"/>
        <w:adjustRightInd/>
        <w:snapToGrid w:val="0"/>
        <w:spacing w:line="580" w:lineRule="exact"/>
        <w:ind w:firstLine="642"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（十二）建立应急避难/避险功能转换机制</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厦门特殊的地理位置，并考虑到自然灾害应急处置的需要，在战时/灾时，实现公共体育设施尤其是大型公共体育场馆应急避难/避险功能转换尤为必要。为此，《草案》规定了大型公共体育场馆实现日常使用和应急使用的相互转换功能（第十条）。</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四、关于《草案》的名称与《规定》的废止</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规定》为我市体育设施的建设与保护提供了有力支持，有效促进了为我市各项体育事业尤其是全民健身事业的发展。但《规定》自制定至今已有26年，尤其是在我市体育设施建设和运营逐步市场化的背景下，其中大多数条款已难以继续适用。《草案》不仅对于体育设施的概念与分类进行修改，同时增加了协调公共体育设施公益性与经营性、鼓励社会资本参与我市体育设施建设、关于我市体育设施的市场化运营等诸多方面的新内容。原《规定》标题中的“建设与保护”也无法涵盖《草案》的内容。因此，《草案》的名称为《厦门经济特区体育设施建设与管理规定》，并明确了《规定》的废止日期（第二十七条）。</w:t>
      </w:r>
    </w:p>
    <w:sectPr>
      <w:footerReference r:id="rId5" w:type="default"/>
      <w:pgSz w:w="11906" w:h="16838"/>
      <w:pgMar w:top="2098" w:right="1474" w:bottom="1928" w:left="1587"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8456415"/>
      <w:docPartObj>
        <w:docPartGallery w:val="autotext"/>
      </w:docPartObj>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41B"/>
    <w:rsid w:val="00046700"/>
    <w:rsid w:val="000932C5"/>
    <w:rsid w:val="000946E8"/>
    <w:rsid w:val="00196602"/>
    <w:rsid w:val="001B7C37"/>
    <w:rsid w:val="0020378E"/>
    <w:rsid w:val="00225D2B"/>
    <w:rsid w:val="0024641B"/>
    <w:rsid w:val="00337BCE"/>
    <w:rsid w:val="0037326C"/>
    <w:rsid w:val="003E0B0B"/>
    <w:rsid w:val="00401167"/>
    <w:rsid w:val="0046522D"/>
    <w:rsid w:val="005220DB"/>
    <w:rsid w:val="00590DE8"/>
    <w:rsid w:val="005A35DB"/>
    <w:rsid w:val="005F6B80"/>
    <w:rsid w:val="00617B02"/>
    <w:rsid w:val="006A3C88"/>
    <w:rsid w:val="00715B01"/>
    <w:rsid w:val="0074282A"/>
    <w:rsid w:val="007C5C59"/>
    <w:rsid w:val="007D02A5"/>
    <w:rsid w:val="00850B14"/>
    <w:rsid w:val="00924A67"/>
    <w:rsid w:val="00956F6A"/>
    <w:rsid w:val="009810CF"/>
    <w:rsid w:val="009D0A3C"/>
    <w:rsid w:val="009E590B"/>
    <w:rsid w:val="009F71BE"/>
    <w:rsid w:val="00A004CE"/>
    <w:rsid w:val="00A163D1"/>
    <w:rsid w:val="00A71578"/>
    <w:rsid w:val="00A74B9A"/>
    <w:rsid w:val="00AE1140"/>
    <w:rsid w:val="00B31DE1"/>
    <w:rsid w:val="00B50D2B"/>
    <w:rsid w:val="00B56373"/>
    <w:rsid w:val="00B72D87"/>
    <w:rsid w:val="00BA2785"/>
    <w:rsid w:val="00BB4A3E"/>
    <w:rsid w:val="00BF3230"/>
    <w:rsid w:val="00C128B4"/>
    <w:rsid w:val="00C20FD2"/>
    <w:rsid w:val="00C51B5D"/>
    <w:rsid w:val="00C8636F"/>
    <w:rsid w:val="00CF6C4D"/>
    <w:rsid w:val="00D06716"/>
    <w:rsid w:val="00D81736"/>
    <w:rsid w:val="00E76940"/>
    <w:rsid w:val="00F225DE"/>
    <w:rsid w:val="00F35480"/>
    <w:rsid w:val="00FF34D1"/>
    <w:rsid w:val="76F72D08"/>
    <w:rsid w:val="F7D768F8"/>
    <w:rsid w:val="FB9B741E"/>
    <w:rsid w:val="FDDFFB82"/>
    <w:rsid w:val="FEE502F8"/>
    <w:rsid w:val="FEFF72B6"/>
    <w:rsid w:val="FF9F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theme="minorBidi"/>
      <w:kern w:val="2"/>
      <w:sz w:val="28"/>
      <w:szCs w:val="28"/>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28">
    <w:name w:val="List Paragraph"/>
    <w:basedOn w:val="1"/>
    <w:qFormat/>
    <w:uiPriority w:val="34"/>
    <w:pPr>
      <w:ind w:left="720"/>
      <w:contextualSpacing/>
    </w:p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6"/>
    <w:link w:val="31"/>
    <w:qFormat/>
    <w:uiPriority w:val="30"/>
    <w:rPr>
      <w:i/>
      <w:iCs/>
      <w:color w:val="104862" w:themeColor="accent1" w:themeShade="BF"/>
    </w:rPr>
  </w:style>
  <w:style w:type="character" w:customStyle="1" w:styleId="33">
    <w:name w:val="Intense Emphasis"/>
    <w:basedOn w:val="16"/>
    <w:qFormat/>
    <w:uiPriority w:val="21"/>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989</Words>
  <Characters>5640</Characters>
  <Lines>47</Lines>
  <Paragraphs>13</Paragraphs>
  <TotalTime>76</TotalTime>
  <ScaleCrop>false</ScaleCrop>
  <LinksUpToDate>false</LinksUpToDate>
  <CharactersWithSpaces>6616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2025-12-01T14:55:00Z</dcterms:created>
  <dc:creator>JinZhi Gong</dc:creator>
  <cp:lastModifiedBy>xmadmin</cp:lastModifiedBy>
  <cp:lastPrinted>2025-12-17T15:40:00Z</cp:lastPrinted>
  <dcterms:modified xsi:type="dcterms:W3CDTF">2025-12-22T10:58:55Z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09CFC8769A033D1B0E0E4169E683AA4F</vt:lpwstr>
  </property>
</Properties>
</file>