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0" w:after="0" w:line="360" w:lineRule="auto"/>
        <w:jc w:val="center"/>
        <w:textAlignment w:val="auto"/>
        <w:rPr>
          <w:rFonts w:ascii="黑体" w:hAnsi="黑体" w:eastAsia="黑体" w:cs="黑体"/>
          <w:b w:val="0"/>
          <w:bCs/>
          <w:color w:val="auto"/>
          <w:sz w:val="32"/>
          <w:szCs w:val="32"/>
        </w:rPr>
      </w:pPr>
      <w:bookmarkStart w:id="0" w:name="_Toc4951"/>
      <w:bookmarkStart w:id="1" w:name="_Toc615997608"/>
      <w:bookmarkStart w:id="2" w:name="_Toc1242109267"/>
      <w:bookmarkStart w:id="3" w:name="_Toc659946906"/>
      <w:bookmarkStart w:id="4" w:name="_Toc906580671"/>
      <w:bookmarkStart w:id="5" w:name="_Toc953623364"/>
      <w:bookmarkStart w:id="6" w:name="_Toc1646030661"/>
      <w:bookmarkStart w:id="7" w:name="_Toc1422797334"/>
      <w:bookmarkStart w:id="8" w:name="_Toc15027"/>
      <w:bookmarkStart w:id="9" w:name="_Toc49485608"/>
      <w:bookmarkStart w:id="10" w:name="_Toc412721235"/>
      <w:bookmarkStart w:id="11" w:name="_Toc9527"/>
      <w:bookmarkStart w:id="12" w:name="_Toc1635414789"/>
      <w:bookmarkStart w:id="13" w:name="_Toc30145"/>
      <w:bookmarkStart w:id="14" w:name="_Toc3254"/>
      <w:bookmarkStart w:id="15" w:name="_Toc1907831229"/>
      <w:bookmarkStart w:id="16" w:name="_Toc20295"/>
      <w:bookmarkStart w:id="17" w:name="_Toc26001"/>
      <w:bookmarkStart w:id="18" w:name="_Toc1866622243"/>
      <w:bookmarkStart w:id="19" w:name="_Toc1610505352"/>
      <w:bookmarkStart w:id="20" w:name="_Toc411"/>
      <w:bookmarkStart w:id="21" w:name="_Toc3760"/>
      <w:bookmarkStart w:id="22" w:name="_Toc1784065676"/>
      <w:bookmarkStart w:id="23" w:name="_Toc936075390"/>
      <w:bookmarkStart w:id="24" w:name="_Toc1574520813"/>
      <w:r>
        <w:rPr>
          <w:rFonts w:hint="eastAsia" w:ascii="黑体" w:hAnsi="黑体" w:eastAsia="黑体" w:cs="黑体"/>
          <w:b w:val="0"/>
          <w:bCs/>
          <w:color w:val="auto"/>
          <w:sz w:val="32"/>
          <w:szCs w:val="32"/>
        </w:rPr>
        <w:t>厦门经济特区国土空间规划条例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pageBreakBefore w:val="0"/>
        <w:kinsoku/>
        <w:wordWrap/>
        <w:overflowPunct/>
        <w:topLinePunct w:val="0"/>
        <w:bidi w:val="0"/>
        <w:snapToGrid/>
        <w:spacing w:line="360" w:lineRule="auto"/>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Cs/>
          <w:color w:val="auto"/>
          <w:sz w:val="32"/>
          <w:szCs w:val="32"/>
          <w:lang w:eastAsia="zh-CN"/>
        </w:rPr>
        <w:t>（草案送审稿）</w:t>
      </w:r>
    </w:p>
    <w:p>
      <w:pPr>
        <w:pageBreakBefore w:val="0"/>
        <w:kinsoku/>
        <w:wordWrap/>
        <w:overflowPunct/>
        <w:topLinePunct w:val="0"/>
        <w:bidi w:val="0"/>
        <w:snapToGrid/>
        <w:spacing w:line="360" w:lineRule="auto"/>
        <w:jc w:val="center"/>
        <w:textAlignment w:val="auto"/>
        <w:rPr>
          <w:rFonts w:ascii="黑体" w:hAnsi="黑体" w:eastAsia="黑体" w:cs="黑体"/>
          <w:color w:val="auto"/>
          <w:sz w:val="32"/>
          <w:szCs w:val="32"/>
        </w:rPr>
      </w:pPr>
    </w:p>
    <w:p>
      <w:pPr>
        <w:pageBreakBefore w:val="0"/>
        <w:kinsoku/>
        <w:wordWrap/>
        <w:overflowPunct/>
        <w:topLinePunct w:val="0"/>
        <w:bidi w:val="0"/>
        <w:snapToGrid/>
        <w:spacing w:line="360" w:lineRule="auto"/>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目录</w:t>
      </w:r>
    </w:p>
    <w:p>
      <w:pPr>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第二章  国土空间规划制定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第三章  国土空间管控与</w:t>
      </w:r>
      <w:r>
        <w:rPr>
          <w:rFonts w:hint="eastAsia" w:ascii="仿宋_GB2312" w:hAnsi="仿宋_GB2312" w:eastAsia="仿宋_GB2312" w:cs="仿宋_GB2312"/>
          <w:color w:val="auto"/>
          <w:kern w:val="0"/>
          <w:sz w:val="32"/>
          <w:szCs w:val="32"/>
          <w:lang w:val="en-US" w:eastAsia="zh-CN"/>
        </w:rPr>
        <w:t>治理</w:t>
      </w:r>
      <w:r>
        <w:rPr>
          <w:rFonts w:hint="eastAsia" w:ascii="仿宋_GB2312" w:hAnsi="仿宋_GB2312" w:eastAsia="仿宋_GB2312" w:cs="仿宋_GB2312"/>
          <w:color w:val="auto"/>
          <w:kern w:val="0"/>
          <w:sz w:val="32"/>
          <w:szCs w:val="32"/>
        </w:rPr>
        <w:t>修复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rPr>
        <w:t>章  国土空间规划实施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rPr>
        <w:t>章  国土空间规划监督管理</w:t>
      </w:r>
    </w:p>
    <w:p>
      <w:pPr>
        <w:pageBreakBefore w:val="0"/>
        <w:kinsoku/>
        <w:wordWrap/>
        <w:overflowPunct/>
        <w:topLinePunct w:val="0"/>
        <w:bidi w:val="0"/>
        <w:snapToGrid/>
        <w:spacing w:line="360" w:lineRule="auto"/>
        <w:ind w:firstLine="64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val="en-US" w:eastAsia="zh-CN"/>
        </w:rPr>
        <w:t>六</w:t>
      </w:r>
      <w:r>
        <w:rPr>
          <w:rFonts w:hint="eastAsia" w:ascii="仿宋_GB2312" w:hAnsi="仿宋_GB2312" w:eastAsia="仿宋_GB2312" w:cs="仿宋_GB2312"/>
          <w:color w:val="auto"/>
          <w:kern w:val="0"/>
          <w:sz w:val="32"/>
          <w:szCs w:val="32"/>
        </w:rPr>
        <w:t>章  法律责任</w:t>
      </w:r>
    </w:p>
    <w:p>
      <w:pPr>
        <w:pageBreakBefore w:val="0"/>
        <w:kinsoku/>
        <w:wordWrap/>
        <w:overflowPunct/>
        <w:topLinePunct w:val="0"/>
        <w:bidi w:val="0"/>
        <w:snapToGrid/>
        <w:spacing w:line="360" w:lineRule="auto"/>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val="en-US" w:eastAsia="zh-CN"/>
        </w:rPr>
        <w:t>七</w:t>
      </w:r>
      <w:r>
        <w:rPr>
          <w:rFonts w:hint="eastAsia" w:ascii="仿宋_GB2312" w:hAnsi="仿宋_GB2312" w:eastAsia="仿宋_GB2312" w:cs="仿宋_GB2312"/>
          <w:color w:val="auto"/>
          <w:kern w:val="0"/>
          <w:sz w:val="32"/>
          <w:szCs w:val="32"/>
        </w:rPr>
        <w:t>章  附则</w:t>
      </w:r>
    </w:p>
    <w:p>
      <w:pPr>
        <w:pageBreakBefore w:val="0"/>
        <w:kinsoku/>
        <w:wordWrap/>
        <w:overflowPunct/>
        <w:topLinePunct w:val="0"/>
        <w:bidi w:val="0"/>
        <w:snapToGrid/>
        <w:spacing w:line="360" w:lineRule="auto"/>
        <w:ind w:firstLine="640"/>
        <w:jc w:val="left"/>
        <w:textAlignment w:val="auto"/>
        <w:rPr>
          <w:rFonts w:hint="eastAsia" w:ascii="仿宋_GB2312" w:hAnsi="仿宋_GB2312" w:eastAsia="仿宋_GB2312" w:cs="仿宋_GB2312"/>
          <w:color w:val="auto"/>
          <w:kern w:val="0"/>
          <w:sz w:val="32"/>
          <w:szCs w:val="32"/>
        </w:rPr>
      </w:pPr>
    </w:p>
    <w:p>
      <w:pPr>
        <w:pStyle w:val="3"/>
        <w:keepNext w:val="0"/>
        <w:keepLines w:val="0"/>
        <w:pageBreakBefore w:val="0"/>
        <w:numPr>
          <w:ilvl w:val="0"/>
          <w:numId w:val="1"/>
        </w:numPr>
        <w:kinsoku/>
        <w:wordWrap/>
        <w:overflowPunct/>
        <w:topLinePunct w:val="0"/>
        <w:bidi w:val="0"/>
        <w:snapToGrid/>
        <w:spacing w:before="0" w:after="0" w:line="360" w:lineRule="auto"/>
        <w:jc w:val="center"/>
        <w:textAlignment w:val="auto"/>
        <w:rPr>
          <w:b w:val="0"/>
          <w:bCs/>
          <w:color w:val="auto"/>
        </w:rPr>
      </w:pPr>
      <w:bookmarkStart w:id="25" w:name="_Toc820224556"/>
      <w:bookmarkStart w:id="26" w:name="_Toc264025643"/>
      <w:bookmarkStart w:id="27" w:name="_Toc1553219436"/>
      <w:bookmarkStart w:id="28" w:name="_Toc686795983"/>
      <w:bookmarkStart w:id="29" w:name="_Toc1281295379"/>
      <w:bookmarkStart w:id="30" w:name="_Toc75436918"/>
      <w:r>
        <w:rPr>
          <w:rFonts w:hint="eastAsia"/>
          <w:b w:val="0"/>
          <w:bCs/>
          <w:color w:val="auto"/>
        </w:rPr>
        <w:t>总则</w:t>
      </w:r>
      <w:bookmarkEnd w:id="25"/>
      <w:bookmarkEnd w:id="26"/>
      <w:bookmarkEnd w:id="27"/>
      <w:bookmarkEnd w:id="28"/>
      <w:bookmarkEnd w:id="29"/>
      <w:bookmarkEnd w:id="30"/>
    </w:p>
    <w:p>
      <w:pPr>
        <w:pageBreakBefore w:val="0"/>
        <w:kinsoku/>
        <w:wordWrap/>
        <w:overflowPunct/>
        <w:topLinePunct w:val="0"/>
        <w:bidi w:val="0"/>
        <w:snapToGrid/>
        <w:spacing w:line="360" w:lineRule="auto"/>
        <w:textAlignment w:val="auto"/>
        <w:rPr>
          <w:rFonts w:hint="default" w:ascii="仿宋_GB2312" w:hAnsi="仿宋_GB2312" w:eastAsia="仿宋_GB2312" w:cs="仿宋_GB2312"/>
          <w:color w:val="auto"/>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eastAsia="仿宋_GB2312" w:cs="仿宋_GB2312"/>
          <w:color w:val="auto"/>
          <w:sz w:val="32"/>
          <w:szCs w:val="32"/>
        </w:rPr>
      </w:pPr>
      <w:bookmarkStart w:id="31" w:name="_Toc28871266"/>
      <w:bookmarkStart w:id="32" w:name="_Toc1277173391"/>
      <w:bookmarkStart w:id="33" w:name="_Toc414365471"/>
      <w:bookmarkStart w:id="34" w:name="_Toc380696705"/>
      <w:bookmarkStart w:id="35" w:name="_Toc747059757"/>
      <w:bookmarkStart w:id="36" w:name="_Toc1280556666"/>
      <w:r>
        <w:rPr>
          <w:rFonts w:hint="eastAsia" w:ascii="仿宋_GB2312" w:hAnsi="仿宋_GB2312" w:eastAsia="仿宋_GB2312" w:cs="仿宋_GB2312"/>
          <w:color w:val="auto"/>
          <w:lang w:eastAsia="zh-CN"/>
        </w:rPr>
        <w:t>第一条</w:t>
      </w:r>
      <w:r>
        <w:rPr>
          <w:rFonts w:hint="eastAsia" w:ascii="仿宋_GB2312" w:hAnsi="仿宋_GB2312" w:eastAsia="仿宋_GB2312" w:cs="仿宋_GB2312"/>
          <w:color w:val="auto"/>
        </w:rPr>
        <w:t>【立法目的】</w:t>
      </w:r>
      <w:bookmarkEnd w:id="31"/>
      <w:bookmarkEnd w:id="32"/>
      <w:bookmarkEnd w:id="33"/>
      <w:bookmarkEnd w:id="34"/>
      <w:bookmarkEnd w:id="35"/>
      <w:bookmarkEnd w:id="36"/>
      <w:r>
        <w:rPr>
          <w:rFonts w:hint="eastAsia" w:ascii="仿宋_GB2312" w:eastAsia="仿宋_GB2312" w:cs="仿宋_GB2312"/>
          <w:b w:val="0"/>
          <w:bCs/>
          <w:color w:val="auto"/>
          <w:sz w:val="32"/>
          <w:szCs w:val="32"/>
        </w:rPr>
        <w:t>为</w:t>
      </w:r>
      <w:r>
        <w:rPr>
          <w:rFonts w:hint="eastAsia" w:ascii="仿宋_GB2312" w:eastAsia="仿宋_GB2312" w:cs="仿宋_GB2312"/>
          <w:b w:val="0"/>
          <w:bCs/>
          <w:color w:val="auto"/>
          <w:sz w:val="32"/>
          <w:szCs w:val="32"/>
          <w:lang w:val="en-US" w:eastAsia="zh-CN"/>
        </w:rPr>
        <w:t>提升国土空间治理体系和城市治理能力现代化水平</w:t>
      </w:r>
      <w:r>
        <w:rPr>
          <w:rFonts w:hint="eastAsia" w:ascii="仿宋_GB2312" w:eastAsia="仿宋_GB2312" w:cs="仿宋_GB2312"/>
          <w:b w:val="0"/>
          <w:bCs/>
          <w:color w:val="auto"/>
          <w:sz w:val="32"/>
          <w:szCs w:val="32"/>
        </w:rPr>
        <w:t>，</w:t>
      </w:r>
      <w:r>
        <w:rPr>
          <w:rFonts w:hint="eastAsia" w:ascii="仿宋_GB2312" w:eastAsia="仿宋_GB2312" w:cs="仿宋_GB2312"/>
          <w:b w:val="0"/>
          <w:bCs/>
          <w:color w:val="auto"/>
          <w:sz w:val="32"/>
          <w:szCs w:val="32"/>
          <w:lang w:eastAsia="zh-CN"/>
        </w:rPr>
        <w:t>履行统一行使所有</w:t>
      </w:r>
      <w:r>
        <w:rPr>
          <w:rFonts w:hint="eastAsia" w:ascii="仿宋_GB2312" w:eastAsia="仿宋_GB2312" w:cs="仿宋_GB2312"/>
          <w:b w:val="0"/>
          <w:bCs/>
          <w:color w:val="auto"/>
          <w:sz w:val="32"/>
          <w:szCs w:val="32"/>
        </w:rPr>
        <w:t>国土空间用途管制和生态保护修复</w:t>
      </w:r>
      <w:r>
        <w:rPr>
          <w:rFonts w:hint="eastAsia" w:ascii="仿宋_GB2312" w:eastAsia="仿宋_GB2312" w:cs="仿宋_GB2312"/>
          <w:b w:val="0"/>
          <w:bCs/>
          <w:color w:val="auto"/>
          <w:sz w:val="32"/>
          <w:szCs w:val="32"/>
          <w:lang w:eastAsia="zh-CN"/>
        </w:rPr>
        <w:t>职责</w:t>
      </w:r>
      <w:r>
        <w:rPr>
          <w:rFonts w:hint="eastAsia" w:ascii="仿宋_GB2312" w:eastAsia="仿宋_GB2312" w:cs="仿宋_GB2312"/>
          <w:b w:val="0"/>
          <w:bCs/>
          <w:color w:val="auto"/>
          <w:sz w:val="32"/>
          <w:szCs w:val="32"/>
        </w:rPr>
        <w:t>，</w:t>
      </w:r>
      <w:r>
        <w:rPr>
          <w:rFonts w:hint="eastAsia" w:ascii="仿宋_GB2312" w:eastAsia="仿宋_GB2312" w:cs="仿宋_GB2312"/>
          <w:b w:val="0"/>
          <w:bCs/>
          <w:color w:val="auto"/>
          <w:sz w:val="32"/>
          <w:szCs w:val="32"/>
          <w:lang w:val="en-US" w:eastAsia="zh-CN"/>
        </w:rPr>
        <w:t>建设高素质高颜值现代化国际化城市</w:t>
      </w:r>
      <w:r>
        <w:rPr>
          <w:rFonts w:hint="eastAsia" w:ascii="仿宋_GB2312" w:eastAsia="仿宋_GB2312" w:cs="仿宋_GB2312"/>
          <w:b w:val="0"/>
          <w:bCs/>
          <w:color w:val="auto"/>
          <w:sz w:val="32"/>
          <w:szCs w:val="32"/>
        </w:rPr>
        <w:t>，</w:t>
      </w:r>
      <w:r>
        <w:rPr>
          <w:rFonts w:hint="eastAsia" w:ascii="仿宋_GB2312" w:eastAsia="仿宋_GB2312" w:cs="仿宋_GB2312"/>
          <w:b w:val="0"/>
          <w:bCs/>
          <w:color w:val="auto"/>
          <w:sz w:val="32"/>
          <w:szCs w:val="32"/>
          <w:lang w:val="en-US" w:eastAsia="zh-CN"/>
        </w:rPr>
        <w:t>推动经济社会高质量发展，</w:t>
      </w:r>
      <w:r>
        <w:rPr>
          <w:rFonts w:hint="eastAsia" w:ascii="仿宋_GB2312" w:hAnsi="仿宋_GB2312" w:eastAsia="仿宋_GB2312" w:cs="仿宋_GB2312"/>
          <w:b w:val="0"/>
          <w:bCs/>
          <w:color w:val="auto"/>
          <w:kern w:val="0"/>
          <w:sz w:val="32"/>
          <w:szCs w:val="32"/>
          <w:shd w:val="clear" w:color="auto" w:fill="FFFFFF"/>
        </w:rPr>
        <w:t>根据有关</w:t>
      </w:r>
      <w:r>
        <w:rPr>
          <w:rFonts w:hint="eastAsia" w:ascii="仿宋_GB2312" w:hAnsi="仿宋_GB2312" w:eastAsia="仿宋_GB2312" w:cs="仿宋_GB2312"/>
          <w:b w:val="0"/>
          <w:bCs/>
          <w:color w:val="auto"/>
          <w:kern w:val="0"/>
          <w:sz w:val="32"/>
          <w:szCs w:val="32"/>
          <w:shd w:val="clear" w:color="auto" w:fill="FFFFFF"/>
          <w:lang w:eastAsia="zh-CN"/>
        </w:rPr>
        <w:t>法律法规</w:t>
      </w:r>
      <w:r>
        <w:rPr>
          <w:rFonts w:hint="eastAsia" w:ascii="仿宋_GB2312" w:hAnsi="仿宋_GB2312" w:eastAsia="仿宋_GB2312" w:cs="仿宋_GB2312"/>
          <w:b w:val="0"/>
          <w:bCs/>
          <w:color w:val="auto"/>
          <w:kern w:val="0"/>
          <w:sz w:val="32"/>
          <w:szCs w:val="32"/>
          <w:shd w:val="clear" w:color="auto" w:fill="FFFFFF"/>
        </w:rPr>
        <w:t>，</w:t>
      </w:r>
      <w:r>
        <w:rPr>
          <w:rFonts w:hint="eastAsia" w:ascii="仿宋_GB2312" w:eastAsia="仿宋_GB2312" w:cs="仿宋_GB2312"/>
          <w:b w:val="0"/>
          <w:bCs/>
          <w:color w:val="auto"/>
          <w:sz w:val="32"/>
          <w:szCs w:val="32"/>
        </w:rPr>
        <w:t>结合厦门经济特区实际，制定本条例。</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cs="仿宋_GB2312"/>
          <w:color w:val="auto"/>
          <w:sz w:val="32"/>
          <w:szCs w:val="32"/>
        </w:rPr>
      </w:pPr>
      <w:bookmarkStart w:id="37" w:name="_Toc1027098717"/>
      <w:bookmarkStart w:id="38" w:name="_Toc1961517208"/>
      <w:bookmarkStart w:id="39" w:name="_Toc821483728"/>
      <w:bookmarkStart w:id="40" w:name="_Toc1570795862"/>
      <w:bookmarkStart w:id="41" w:name="_Toc1266501637"/>
      <w:bookmarkStart w:id="42" w:name="_Toc1525776265"/>
      <w:r>
        <w:rPr>
          <w:rFonts w:hint="eastAsia" w:ascii="仿宋_GB2312" w:hAnsi="仿宋_GB2312" w:eastAsia="仿宋_GB2312" w:cs="仿宋_GB2312"/>
          <w:color w:val="auto"/>
          <w:lang w:eastAsia="zh-CN"/>
        </w:rPr>
        <w:t>第二条</w:t>
      </w:r>
      <w:r>
        <w:rPr>
          <w:rFonts w:hint="eastAsia" w:ascii="仿宋_GB2312" w:hAnsi="仿宋_GB2312" w:eastAsia="仿宋_GB2312" w:cs="仿宋_GB2312"/>
          <w:color w:val="auto"/>
        </w:rPr>
        <w:t>【</w:t>
      </w:r>
      <w:r>
        <w:rPr>
          <w:rFonts w:ascii="仿宋_GB2312" w:hAnsi="仿宋_GB2312" w:eastAsia="仿宋_GB2312" w:cs="仿宋_GB2312"/>
          <w:color w:val="auto"/>
        </w:rPr>
        <w:t>适用范围</w:t>
      </w:r>
      <w:r>
        <w:rPr>
          <w:rFonts w:hint="eastAsia" w:ascii="仿宋_GB2312" w:hAnsi="仿宋_GB2312" w:eastAsia="仿宋_GB2312" w:cs="仿宋_GB2312"/>
          <w:color w:val="auto"/>
        </w:rPr>
        <w:t>】</w:t>
      </w:r>
      <w:bookmarkEnd w:id="37"/>
      <w:bookmarkEnd w:id="38"/>
      <w:bookmarkEnd w:id="39"/>
      <w:bookmarkEnd w:id="40"/>
      <w:bookmarkEnd w:id="41"/>
      <w:bookmarkEnd w:id="42"/>
      <w:r>
        <w:rPr>
          <w:rFonts w:hint="eastAsia" w:ascii="仿宋_GB2312" w:eastAsia="仿宋_GB2312" w:cs="仿宋_GB2312"/>
          <w:b w:val="0"/>
          <w:bCs/>
          <w:color w:val="auto"/>
          <w:sz w:val="32"/>
          <w:szCs w:val="32"/>
        </w:rPr>
        <w:t>本市行政区域（包括陆域和海域）内国土空间规划的制定、实施、监督检查</w:t>
      </w:r>
      <w:r>
        <w:rPr>
          <w:rFonts w:hint="eastAsia" w:ascii="仿宋_GB2312" w:hAnsi="仿宋_GB2312" w:eastAsia="仿宋_GB2312" w:cs="仿宋_GB2312"/>
          <w:b w:val="0"/>
          <w:bCs/>
          <w:color w:val="auto"/>
          <w:kern w:val="0"/>
          <w:sz w:val="32"/>
          <w:szCs w:val="32"/>
          <w:shd w:val="clear" w:color="auto" w:fill="FFFFFF"/>
        </w:rPr>
        <w:t>以及国土空间开发保护建设等活动</w:t>
      </w:r>
      <w:r>
        <w:rPr>
          <w:rFonts w:hint="eastAsia" w:ascii="仿宋_GB2312" w:eastAsia="仿宋_GB2312" w:cs="仿宋_GB2312"/>
          <w:b w:val="0"/>
          <w:bCs/>
          <w:color w:val="auto"/>
          <w:sz w:val="32"/>
          <w:szCs w:val="32"/>
        </w:rPr>
        <w:t>，应当遵守本条例。</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default" w:ascii="仿宋_GB2312" w:eastAsia="仿宋_GB2312" w:cs="仿宋_GB2312"/>
          <w:color w:val="auto"/>
          <w:sz w:val="32"/>
          <w:szCs w:val="32"/>
          <w:lang w:val="en-US" w:eastAsia="zh-CN"/>
        </w:rPr>
      </w:pPr>
      <w:bookmarkStart w:id="43" w:name="_Toc1713065518"/>
      <w:bookmarkStart w:id="44" w:name="_Toc65041163"/>
      <w:bookmarkStart w:id="45" w:name="_Toc1157809612"/>
      <w:bookmarkStart w:id="46" w:name="_Toc624959940"/>
      <w:bookmarkStart w:id="47" w:name="_Toc239169945"/>
      <w:bookmarkStart w:id="48" w:name="_Toc268730696"/>
      <w:r>
        <w:rPr>
          <w:rFonts w:hint="eastAsia" w:ascii="仿宋_GB2312" w:hAnsi="仿宋_GB2312" w:eastAsia="仿宋_GB2312" w:cs="仿宋_GB2312"/>
          <w:color w:val="auto"/>
          <w:lang w:eastAsia="zh-CN"/>
        </w:rPr>
        <w:t>第三条</w:t>
      </w:r>
      <w:r>
        <w:rPr>
          <w:rFonts w:hint="eastAsia" w:ascii="仿宋_GB2312" w:hAnsi="仿宋_GB2312" w:eastAsia="仿宋_GB2312" w:cs="仿宋_GB2312"/>
          <w:color w:val="auto"/>
        </w:rPr>
        <w:t>【基本原则】</w:t>
      </w:r>
      <w:bookmarkEnd w:id="43"/>
      <w:bookmarkEnd w:id="44"/>
      <w:bookmarkEnd w:id="45"/>
      <w:bookmarkEnd w:id="46"/>
      <w:bookmarkEnd w:id="47"/>
      <w:bookmarkEnd w:id="48"/>
      <w:r>
        <w:rPr>
          <w:rFonts w:hint="eastAsia" w:ascii="仿宋_GB2312" w:hAnsi="仿宋_GB2312" w:eastAsia="仿宋_GB2312" w:cs="仿宋_GB2312"/>
          <w:b w:val="0"/>
          <w:bCs/>
          <w:color w:val="auto"/>
          <w:sz w:val="32"/>
          <w:szCs w:val="32"/>
        </w:rPr>
        <w:t>国土空间规划工作应当</w:t>
      </w:r>
      <w:r>
        <w:rPr>
          <w:rFonts w:hint="eastAsia" w:ascii="仿宋_GB2312" w:eastAsia="仿宋_GB2312" w:cs="仿宋_GB2312"/>
          <w:b w:val="0"/>
          <w:bCs/>
          <w:color w:val="auto"/>
          <w:sz w:val="32"/>
          <w:szCs w:val="32"/>
        </w:rPr>
        <w:t>坚持新发展理念，认真践行人民城市理念，坚持以人民为中心</w:t>
      </w:r>
      <w:r>
        <w:rPr>
          <w:rFonts w:hint="eastAsia" w:ascii="仿宋_GB2312" w:eastAsia="仿宋_GB2312" w:cs="仿宋_GB2312"/>
          <w:b w:val="0"/>
          <w:bCs/>
          <w:color w:val="auto"/>
          <w:sz w:val="32"/>
          <w:szCs w:val="32"/>
          <w:lang w:val="en-US" w:eastAsia="zh-CN"/>
        </w:rPr>
        <w:t>，统筹发展和安全，加强城乡历史文化保护与传承，</w:t>
      </w:r>
      <w:r>
        <w:rPr>
          <w:rFonts w:hint="eastAsia" w:ascii="仿宋_GB2312" w:eastAsia="仿宋_GB2312" w:cs="仿宋_GB2312"/>
          <w:b w:val="0"/>
          <w:bCs/>
          <w:color w:val="auto"/>
          <w:sz w:val="32"/>
          <w:szCs w:val="32"/>
        </w:rPr>
        <w:t>体现战略性、提高科学性、强化权威性</w:t>
      </w:r>
      <w:r>
        <w:rPr>
          <w:rFonts w:hint="eastAsia" w:ascii="仿宋_GB2312" w:eastAsia="仿宋_GB2312" w:cs="仿宋_GB2312"/>
          <w:b w:val="0"/>
          <w:bCs/>
          <w:color w:val="auto"/>
          <w:sz w:val="32"/>
          <w:szCs w:val="32"/>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kern w:val="0"/>
          <w:sz w:val="32"/>
          <w:szCs w:val="32"/>
          <w:shd w:val="clear" w:color="auto" w:fill="FFFFFF"/>
        </w:rPr>
      </w:pPr>
      <w:bookmarkStart w:id="49" w:name="_Toc1111457051"/>
      <w:bookmarkStart w:id="50" w:name="_Toc1956127704"/>
      <w:bookmarkStart w:id="51" w:name="_Toc361476790"/>
      <w:bookmarkStart w:id="52" w:name="_Toc1501649120"/>
      <w:bookmarkStart w:id="53" w:name="_Toc221092459"/>
      <w:bookmarkStart w:id="54" w:name="_Toc245835946"/>
      <w:r>
        <w:rPr>
          <w:rFonts w:hint="eastAsia" w:ascii="仿宋_GB2312" w:hAnsi="仿宋_GB2312" w:eastAsia="仿宋_GB2312" w:cs="仿宋_GB2312"/>
          <w:color w:val="auto"/>
          <w:lang w:eastAsia="zh-CN"/>
        </w:rPr>
        <w:t>第四条</w:t>
      </w:r>
      <w:r>
        <w:rPr>
          <w:rFonts w:hint="eastAsia" w:ascii="仿宋_GB2312" w:hAnsi="仿宋_GB2312" w:eastAsia="仿宋_GB2312" w:cs="仿宋_GB2312"/>
          <w:color w:val="auto"/>
        </w:rPr>
        <w:t>【</w:t>
      </w:r>
      <w:r>
        <w:rPr>
          <w:rFonts w:ascii="仿宋_GB2312" w:hAnsi="仿宋_GB2312" w:eastAsia="仿宋_GB2312" w:cs="仿宋_GB2312"/>
          <w:color w:val="auto"/>
        </w:rPr>
        <w:t>规划</w:t>
      </w:r>
      <w:r>
        <w:rPr>
          <w:rFonts w:hint="eastAsia" w:ascii="仿宋_GB2312" w:hAnsi="仿宋_GB2312" w:eastAsia="仿宋_GB2312" w:cs="仿宋_GB2312"/>
          <w:color w:val="auto"/>
        </w:rPr>
        <w:t>效力】</w:t>
      </w:r>
      <w:bookmarkEnd w:id="49"/>
      <w:bookmarkEnd w:id="50"/>
      <w:bookmarkEnd w:id="51"/>
      <w:bookmarkEnd w:id="52"/>
      <w:bookmarkEnd w:id="53"/>
      <w:bookmarkEnd w:id="54"/>
      <w:r>
        <w:rPr>
          <w:rFonts w:hint="eastAsia" w:ascii="仿宋_GB2312" w:hAnsi="仿宋_GB2312" w:eastAsia="仿宋_GB2312" w:cs="仿宋_GB2312"/>
          <w:b w:val="0"/>
          <w:bCs/>
          <w:color w:val="auto"/>
          <w:sz w:val="32"/>
          <w:szCs w:val="32"/>
        </w:rPr>
        <w:t>建立健全本市国土空间规划体系，在国土空间规划体系之外不得另设其他国土空间规划。国土空间开发保护不得突破国土空间规划确定的强制性内容与约束性指标，经依法批准的国土空间</w:t>
      </w:r>
      <w:r>
        <w:rPr>
          <w:rFonts w:hint="eastAsia" w:ascii="仿宋_GB2312" w:hAnsi="仿宋_GB2312" w:eastAsia="仿宋_GB2312" w:cs="仿宋_GB2312"/>
          <w:b w:val="0"/>
          <w:bCs/>
          <w:color w:val="auto"/>
          <w:kern w:val="0"/>
          <w:sz w:val="32"/>
          <w:szCs w:val="32"/>
          <w:shd w:val="clear" w:color="auto" w:fill="FFFFFF"/>
        </w:rPr>
        <w:t>规划，未经法定程序不得随意修改、违规变更。</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kern w:val="0"/>
          <w:sz w:val="32"/>
          <w:szCs w:val="32"/>
          <w:shd w:val="clear" w:color="auto" w:fill="FFFFFF"/>
        </w:rPr>
      </w:pPr>
      <w:bookmarkStart w:id="55" w:name="_Toc1248133539"/>
      <w:bookmarkStart w:id="56" w:name="_Toc1933314129"/>
      <w:bookmarkStart w:id="57" w:name="_Toc814895232"/>
      <w:bookmarkStart w:id="58" w:name="_Toc1194513918"/>
      <w:bookmarkStart w:id="59" w:name="_Toc903888359"/>
      <w:bookmarkStart w:id="60" w:name="_Toc938924029"/>
      <w:r>
        <w:rPr>
          <w:rFonts w:hint="eastAsia" w:ascii="仿宋_GB2312" w:hAnsi="仿宋_GB2312" w:eastAsia="仿宋_GB2312" w:cs="仿宋_GB2312"/>
          <w:color w:val="auto"/>
          <w:lang w:eastAsia="zh-CN"/>
        </w:rPr>
        <w:t>第五条</w:t>
      </w:r>
      <w:r>
        <w:rPr>
          <w:rFonts w:hint="eastAsia" w:ascii="仿宋_GB2312" w:hAnsi="仿宋_GB2312" w:eastAsia="仿宋_GB2312" w:cs="仿宋_GB2312"/>
          <w:color w:val="auto"/>
        </w:rPr>
        <w:t>【</w:t>
      </w:r>
      <w:r>
        <w:rPr>
          <w:rFonts w:ascii="仿宋_GB2312" w:hAnsi="仿宋_GB2312" w:eastAsia="仿宋_GB2312" w:cs="仿宋_GB2312"/>
          <w:color w:val="auto"/>
        </w:rPr>
        <w:t>部门职责</w:t>
      </w:r>
      <w:r>
        <w:rPr>
          <w:rFonts w:hint="eastAsia" w:ascii="仿宋_GB2312" w:hAnsi="仿宋_GB2312" w:eastAsia="仿宋_GB2312" w:cs="仿宋_GB2312"/>
          <w:color w:val="auto"/>
        </w:rPr>
        <w:t>】</w:t>
      </w:r>
      <w:bookmarkEnd w:id="55"/>
      <w:bookmarkEnd w:id="56"/>
      <w:bookmarkEnd w:id="57"/>
      <w:bookmarkEnd w:id="58"/>
      <w:bookmarkEnd w:id="59"/>
      <w:bookmarkEnd w:id="60"/>
      <w:r>
        <w:rPr>
          <w:rFonts w:hint="eastAsia" w:ascii="仿宋_GB2312" w:eastAsia="仿宋_GB2312" w:cs="仿宋_GB2312"/>
          <w:b w:val="0"/>
          <w:bCs/>
          <w:color w:val="auto"/>
          <w:sz w:val="32"/>
          <w:szCs w:val="32"/>
        </w:rPr>
        <w:t>市人民政府领导本市国土空间规划工作</w:t>
      </w:r>
      <w:r>
        <w:rPr>
          <w:rFonts w:hint="eastAsia" w:ascii="仿宋_GB2312" w:hAnsi="仿宋_GB2312" w:eastAsia="仿宋_GB2312" w:cs="仿宋_GB2312"/>
          <w:b w:val="0"/>
          <w:bCs/>
          <w:color w:val="auto"/>
          <w:kern w:val="0"/>
          <w:sz w:val="32"/>
          <w:szCs w:val="32"/>
          <w:shd w:val="clear" w:color="auto" w:fill="FFFFFF"/>
        </w:rPr>
        <w:t>。</w:t>
      </w:r>
    </w:p>
    <w:p>
      <w:pPr>
        <w:pageBreakBefore w:val="0"/>
        <w:shd w:val="clear" w:color="auto" w:fill="auto"/>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sz w:val="32"/>
          <w:szCs w:val="32"/>
          <w:shd w:val="clear" w:color="auto" w:fill="FFFFFF"/>
        </w:rPr>
        <w:t>区人民政府在各自职责范围内，做好国土空间规划管理的相关工作。</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人民政府（街道办事处）</w:t>
      </w:r>
      <w:r>
        <w:rPr>
          <w:rFonts w:hint="eastAsia" w:ascii="仿宋_GB2312" w:hAnsi="仿宋_GB2312" w:eastAsia="仿宋_GB2312" w:cs="仿宋_GB2312"/>
          <w:color w:val="auto"/>
          <w:sz w:val="32"/>
          <w:szCs w:val="32"/>
          <w:lang w:val="en-US" w:eastAsia="zh-CN"/>
        </w:rPr>
        <w:t>按照职责</w:t>
      </w:r>
      <w:r>
        <w:rPr>
          <w:rFonts w:hint="eastAsia" w:ascii="仿宋_GB2312" w:hAnsi="仿宋_GB2312" w:eastAsia="仿宋_GB2312" w:cs="仿宋_GB2312"/>
          <w:color w:val="auto"/>
          <w:sz w:val="32"/>
          <w:szCs w:val="32"/>
        </w:rPr>
        <w:t>负责辖区内国土空间规划工作。</w:t>
      </w:r>
    </w:p>
    <w:p>
      <w:pPr>
        <w:pStyle w:val="14"/>
        <w:pageBreakBefore w:val="0"/>
        <w:shd w:val="clear" w:color="auto" w:fill="FFFFFF"/>
        <w:kinsoku/>
        <w:wordWrap/>
        <w:overflowPunct/>
        <w:topLinePunct w:val="0"/>
        <w:bidi w:val="0"/>
        <w:snapToGrid/>
        <w:spacing w:beforeAutospacing="0" w:afterAutospacing="0" w:line="360" w:lineRule="auto"/>
        <w:ind w:firstLine="640" w:firstLineChars="200"/>
        <w:jc w:val="both"/>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rPr>
        <w:t>市资源规划主管部门负责本市国土空间规划管理工作，其派出</w:t>
      </w:r>
      <w:r>
        <w:rPr>
          <w:rFonts w:ascii="仿宋_GB2312" w:eastAsia="仿宋_GB2312" w:cs="仿宋_GB2312"/>
          <w:color w:val="auto"/>
          <w:sz w:val="32"/>
          <w:szCs w:val="32"/>
        </w:rPr>
        <w:t>机构按照规定权限承担辖区内</w:t>
      </w:r>
      <w:r>
        <w:rPr>
          <w:rFonts w:hint="eastAsia" w:ascii="仿宋_GB2312" w:eastAsia="仿宋_GB2312" w:cs="仿宋_GB2312"/>
          <w:color w:val="auto"/>
          <w:sz w:val="32"/>
          <w:szCs w:val="32"/>
        </w:rPr>
        <w:t>的国土</w:t>
      </w:r>
      <w:r>
        <w:rPr>
          <w:rFonts w:ascii="仿宋_GB2312" w:eastAsia="仿宋_GB2312" w:cs="仿宋_GB2312"/>
          <w:color w:val="auto"/>
          <w:sz w:val="32"/>
          <w:szCs w:val="32"/>
        </w:rPr>
        <w:t>空间规划管理工作。</w:t>
      </w:r>
      <w:r>
        <w:rPr>
          <w:rFonts w:hint="eastAsia" w:ascii="仿宋_GB2312" w:eastAsia="仿宋_GB2312" w:cs="仿宋_GB2312"/>
          <w:color w:val="auto"/>
          <w:sz w:val="32"/>
          <w:szCs w:val="32"/>
          <w:lang w:val="en-US" w:eastAsia="zh-CN"/>
        </w:rPr>
        <w:t>相关行业行政主管部门在各自职责范围内，做好国土空间规划管理的相关工作。</w:t>
      </w:r>
    </w:p>
    <w:p>
      <w:pPr>
        <w:pageBreakBefore w:val="0"/>
        <w:shd w:val="clear" w:color="auto" w:fill="FFFFFF"/>
        <w:kinsoku/>
        <w:wordWrap/>
        <w:overflowPunct/>
        <w:topLinePunct w:val="0"/>
        <w:bidi w:val="0"/>
        <w:snapToGrid/>
        <w:spacing w:line="360" w:lineRule="auto"/>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仿宋_GB2312" w:eastAsia="仿宋_GB2312" w:cs="仿宋_GB2312"/>
          <w:color w:val="auto"/>
          <w:sz w:val="32"/>
          <w:szCs w:val="32"/>
        </w:rPr>
        <w:t>各级人民政府应当将国土空间规划的制定、实施、监督检查</w:t>
      </w:r>
      <w:r>
        <w:rPr>
          <w:rFonts w:hint="eastAsia" w:ascii="仿宋_GB2312" w:hAnsi="仿宋_GB2312" w:eastAsia="仿宋_GB2312" w:cs="仿宋_GB2312"/>
          <w:color w:val="auto"/>
          <w:kern w:val="0"/>
          <w:sz w:val="32"/>
          <w:szCs w:val="32"/>
          <w:shd w:val="clear" w:color="auto" w:fill="FFFFFF"/>
        </w:rPr>
        <w:t>以及国土空间</w:t>
      </w:r>
      <w:r>
        <w:rPr>
          <w:rFonts w:hint="eastAsia" w:ascii="仿宋_GB2312" w:hAnsi="仿宋_GB2312" w:eastAsia="仿宋_GB2312" w:cs="仿宋_GB2312"/>
          <w:color w:val="auto"/>
          <w:kern w:val="0"/>
          <w:sz w:val="32"/>
          <w:szCs w:val="32"/>
          <w:shd w:val="clear" w:color="auto" w:fill="FFFFFF"/>
          <w:lang w:eastAsia="zh-CN"/>
        </w:rPr>
        <w:t>治理修复</w:t>
      </w:r>
      <w:r>
        <w:rPr>
          <w:rFonts w:hint="eastAsia" w:ascii="仿宋_GB2312" w:hAnsi="仿宋_GB2312" w:eastAsia="仿宋_GB2312" w:cs="仿宋_GB2312"/>
          <w:color w:val="auto"/>
          <w:kern w:val="0"/>
          <w:sz w:val="32"/>
          <w:szCs w:val="32"/>
          <w:shd w:val="clear" w:color="auto" w:fill="FFFFFF"/>
        </w:rPr>
        <w:t>等经费</w:t>
      </w:r>
      <w:r>
        <w:rPr>
          <w:rFonts w:hint="eastAsia" w:ascii="仿宋_GB2312" w:hAnsi="仿宋_GB2312" w:eastAsia="仿宋_GB2312" w:cs="仿宋_GB2312"/>
          <w:color w:val="auto"/>
          <w:kern w:val="0"/>
          <w:sz w:val="32"/>
          <w:szCs w:val="32"/>
          <w:shd w:val="clear" w:color="auto" w:fill="FFFFFF"/>
          <w:lang w:val="en-US" w:eastAsia="zh-CN"/>
        </w:rPr>
        <w:t>按市区财政事权</w:t>
      </w:r>
      <w:r>
        <w:rPr>
          <w:rFonts w:hint="eastAsia" w:ascii="仿宋_GB2312" w:eastAsia="仿宋_GB2312" w:cs="仿宋_GB2312"/>
          <w:color w:val="auto"/>
          <w:sz w:val="32"/>
          <w:szCs w:val="32"/>
        </w:rPr>
        <w:t>纳入本级财政预算。</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default" w:ascii="仿宋_GB2312" w:hAnsi="仿宋_GB2312" w:eastAsia="仿宋_GB2312" w:cs="仿宋_GB2312"/>
          <w:i w:val="0"/>
          <w:iCs w:val="0"/>
          <w:caps w:val="0"/>
          <w:color w:val="auto"/>
          <w:spacing w:val="0"/>
          <w:sz w:val="32"/>
          <w:szCs w:val="32"/>
          <w:lang w:val="en-US" w:eastAsia="zh-CN"/>
        </w:rPr>
      </w:pPr>
      <w:bookmarkStart w:id="61" w:name="_Toc1916995370"/>
      <w:bookmarkStart w:id="62" w:name="_Toc1979704785"/>
      <w:bookmarkStart w:id="63" w:name="_Toc1197262054"/>
      <w:bookmarkStart w:id="64" w:name="_Toc870345951"/>
      <w:bookmarkStart w:id="65" w:name="_Toc2057929733"/>
      <w:bookmarkStart w:id="66" w:name="_Toc290908778"/>
      <w:r>
        <w:rPr>
          <w:rFonts w:hint="eastAsia" w:ascii="仿宋_GB2312" w:hAnsi="仿宋_GB2312" w:eastAsia="仿宋_GB2312" w:cs="仿宋_GB2312"/>
          <w:b/>
          <w:bCs w:val="0"/>
          <w:color w:val="auto"/>
          <w:lang w:eastAsia="zh-CN"/>
        </w:rPr>
        <w:t>第六条</w:t>
      </w:r>
      <w:r>
        <w:rPr>
          <w:rFonts w:hint="eastAsia" w:ascii="仿宋_GB2312" w:hAnsi="仿宋_GB2312" w:eastAsia="仿宋_GB2312" w:cs="仿宋_GB2312"/>
          <w:b/>
          <w:bCs w:val="0"/>
          <w:color w:val="auto"/>
        </w:rPr>
        <w:t>【数字化治理】</w:t>
      </w:r>
      <w:bookmarkEnd w:id="61"/>
      <w:bookmarkEnd w:id="62"/>
      <w:bookmarkEnd w:id="63"/>
      <w:bookmarkEnd w:id="64"/>
      <w:bookmarkEnd w:id="65"/>
      <w:bookmarkEnd w:id="66"/>
      <w:r>
        <w:rPr>
          <w:rFonts w:hint="eastAsia" w:ascii="仿宋_GB2312" w:hAnsi="宋体" w:eastAsia="仿宋_GB2312" w:cs="仿宋_GB2312"/>
          <w:b w:val="0"/>
          <w:bCs/>
          <w:color w:val="auto"/>
          <w:kern w:val="0"/>
          <w:sz w:val="32"/>
          <w:szCs w:val="32"/>
        </w:rPr>
        <w:t>市资源规划主管部门</w:t>
      </w:r>
      <w:r>
        <w:rPr>
          <w:rFonts w:hint="eastAsia" w:ascii="仿宋_GB2312" w:hAnsi="宋体" w:eastAsia="仿宋_GB2312" w:cs="仿宋_GB2312"/>
          <w:b w:val="0"/>
          <w:bCs/>
          <w:color w:val="auto"/>
          <w:kern w:val="0"/>
          <w:sz w:val="32"/>
          <w:szCs w:val="32"/>
          <w:lang w:val="en-US" w:eastAsia="zh-CN"/>
        </w:rPr>
        <w:t>建立</w:t>
      </w:r>
      <w:r>
        <w:rPr>
          <w:rFonts w:hint="eastAsia" w:ascii="仿宋_GB2312" w:hAnsi="宋体" w:eastAsia="仿宋_GB2312" w:cs="仿宋_GB2312"/>
          <w:b w:val="0"/>
          <w:bCs/>
          <w:color w:val="auto"/>
          <w:kern w:val="0"/>
          <w:sz w:val="32"/>
          <w:szCs w:val="32"/>
        </w:rPr>
        <w:t>自然资源和空间地理数据库，</w:t>
      </w:r>
      <w:r>
        <w:rPr>
          <w:rFonts w:hint="eastAsia" w:ascii="仿宋_GB2312" w:hAnsi="宋体" w:eastAsia="仿宋_GB2312" w:cs="仿宋_GB2312"/>
          <w:b w:val="0"/>
          <w:bCs/>
          <w:color w:val="auto"/>
          <w:kern w:val="0"/>
          <w:sz w:val="32"/>
          <w:szCs w:val="32"/>
          <w:lang w:val="en-US" w:eastAsia="zh-CN"/>
        </w:rPr>
        <w:t>形成自然资源管理和国土空间规划“一张图”</w:t>
      </w:r>
      <w:r>
        <w:rPr>
          <w:rFonts w:hint="eastAsia" w:ascii="仿宋_GB2312" w:hAnsi="宋体" w:eastAsia="仿宋_GB2312" w:cs="仿宋_GB2312"/>
          <w:b w:val="0"/>
          <w:bCs/>
          <w:i w:val="0"/>
          <w:iCs w:val="0"/>
          <w:caps w:val="0"/>
          <w:color w:val="auto"/>
          <w:spacing w:val="0"/>
          <w:kern w:val="0"/>
          <w:sz w:val="32"/>
          <w:szCs w:val="32"/>
          <w:shd w:val="clear"/>
          <w:lang w:eastAsia="zh-CN"/>
        </w:rPr>
        <w:t>，</w:t>
      </w:r>
      <w:r>
        <w:rPr>
          <w:rFonts w:hint="eastAsia" w:ascii="仿宋_GB2312" w:hAnsi="宋体" w:eastAsia="仿宋_GB2312" w:cs="仿宋_GB2312"/>
          <w:b w:val="0"/>
          <w:bCs/>
          <w:i w:val="0"/>
          <w:iCs w:val="0"/>
          <w:caps w:val="0"/>
          <w:color w:val="auto"/>
          <w:spacing w:val="0"/>
          <w:kern w:val="0"/>
          <w:sz w:val="32"/>
          <w:szCs w:val="32"/>
          <w:shd w:val="clear"/>
          <w:lang w:val="en-US" w:eastAsia="zh-CN"/>
        </w:rPr>
        <w:t>促进国土空间治理数字化转型和智慧城市建设。</w:t>
      </w:r>
    </w:p>
    <w:p>
      <w:pPr>
        <w:pageBreakBefore w:val="0"/>
        <w:kinsoku/>
        <w:wordWrap/>
        <w:overflowPunct/>
        <w:topLinePunct w:val="0"/>
        <w:bidi w:val="0"/>
        <w:snapToGrid/>
        <w:spacing w:line="360" w:lineRule="auto"/>
        <w:ind w:firstLine="640" w:firstLineChars="200"/>
        <w:textAlignment w:val="auto"/>
        <w:rPr>
          <w:rFonts w:hint="default" w:ascii="仿宋_GB2312" w:hAnsi="宋体" w:eastAsia="仿宋_GB2312" w:cs="仿宋_GB2312"/>
          <w:b/>
          <w:bCs/>
          <w:color w:val="auto"/>
          <w:kern w:val="0"/>
          <w:sz w:val="32"/>
          <w:szCs w:val="32"/>
          <w:lang w:val="en-US" w:eastAsia="zh-CN"/>
        </w:rPr>
      </w:pPr>
      <w:r>
        <w:rPr>
          <w:rFonts w:hint="eastAsia" w:ascii="仿宋_GB2312" w:hAnsi="宋体" w:eastAsia="仿宋_GB2312" w:cs="仿宋_GB2312"/>
          <w:color w:val="auto"/>
          <w:kern w:val="0"/>
          <w:sz w:val="32"/>
          <w:szCs w:val="32"/>
        </w:rPr>
        <w:t>完善国土空间规划“一张图”实施监督系统，推进市级国土空间规划实施监测网络建设，实现国土空间规划全生命周期</w:t>
      </w:r>
      <w:r>
        <w:rPr>
          <w:rFonts w:hint="eastAsia" w:ascii="仿宋_GB2312" w:hAnsi="宋体" w:eastAsia="仿宋_GB2312" w:cs="仿宋_GB2312"/>
          <w:color w:val="auto"/>
          <w:kern w:val="0"/>
          <w:sz w:val="32"/>
          <w:szCs w:val="32"/>
          <w:lang w:val="en-US" w:eastAsia="zh-CN"/>
        </w:rPr>
        <w:t>数字化</w:t>
      </w:r>
      <w:r>
        <w:rPr>
          <w:rFonts w:hint="eastAsia" w:ascii="仿宋_GB2312" w:hAnsi="宋体" w:eastAsia="仿宋_GB2312" w:cs="仿宋_GB2312"/>
          <w:color w:val="auto"/>
          <w:kern w:val="0"/>
          <w:sz w:val="32"/>
          <w:szCs w:val="32"/>
        </w:rPr>
        <w:t>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Times New Roman" w:eastAsia="仿宋_GB2312" w:cs="仿宋_GB2312"/>
          <w:color w:val="auto"/>
          <w:sz w:val="32"/>
          <w:szCs w:val="32"/>
          <w:lang w:eastAsia="zh-CN"/>
        </w:rPr>
      </w:pPr>
      <w:bookmarkStart w:id="67" w:name="_Toc1921143466"/>
      <w:bookmarkStart w:id="68" w:name="_Toc1427472123"/>
      <w:bookmarkStart w:id="69" w:name="_Toc2065250984"/>
      <w:bookmarkStart w:id="70" w:name="_Toc382123025"/>
      <w:bookmarkStart w:id="71" w:name="_Toc491738092"/>
      <w:bookmarkStart w:id="72" w:name="_Toc2059585888"/>
      <w:r>
        <w:rPr>
          <w:rFonts w:hint="eastAsia" w:ascii="仿宋_GB2312" w:hAnsi="仿宋_GB2312" w:eastAsia="仿宋_GB2312" w:cs="仿宋_GB2312"/>
          <w:color w:val="auto"/>
          <w:lang w:eastAsia="zh-CN"/>
        </w:rPr>
        <w:t>第七条</w:t>
      </w:r>
      <w:r>
        <w:rPr>
          <w:rFonts w:hint="eastAsia" w:ascii="仿宋_GB2312" w:hAnsi="仿宋_GB2312" w:eastAsia="仿宋_GB2312" w:cs="仿宋_GB2312"/>
          <w:color w:val="auto"/>
        </w:rPr>
        <w:t>【</w:t>
      </w:r>
      <w:r>
        <w:rPr>
          <w:rFonts w:ascii="仿宋_GB2312" w:hAnsi="仿宋_GB2312" w:eastAsia="仿宋_GB2312" w:cs="仿宋_GB2312"/>
          <w:color w:val="auto"/>
        </w:rPr>
        <w:t>公众参与</w:t>
      </w:r>
      <w:r>
        <w:rPr>
          <w:rFonts w:hint="eastAsia" w:ascii="仿宋_GB2312" w:hAnsi="仿宋_GB2312" w:eastAsia="仿宋_GB2312" w:cs="仿宋_GB2312"/>
          <w:color w:val="auto"/>
        </w:rPr>
        <w:t>】</w:t>
      </w:r>
      <w:bookmarkEnd w:id="67"/>
      <w:bookmarkEnd w:id="68"/>
      <w:bookmarkEnd w:id="69"/>
      <w:bookmarkEnd w:id="70"/>
      <w:bookmarkEnd w:id="71"/>
      <w:bookmarkEnd w:id="72"/>
      <w:r>
        <w:rPr>
          <w:rFonts w:hint="eastAsia" w:ascii="仿宋_GB2312" w:hAnsi="Times New Roman" w:eastAsia="仿宋_GB2312" w:cs="仿宋_GB2312"/>
          <w:b w:val="0"/>
          <w:bCs/>
          <w:color w:val="auto"/>
          <w:sz w:val="32"/>
          <w:szCs w:val="32"/>
        </w:rPr>
        <w:t>国土</w:t>
      </w:r>
      <w:r>
        <w:rPr>
          <w:rFonts w:ascii="仿宋_GB2312" w:hAnsi="Times New Roman" w:eastAsia="仿宋_GB2312" w:cs="仿宋_GB2312"/>
          <w:b w:val="0"/>
          <w:bCs/>
          <w:color w:val="auto"/>
          <w:sz w:val="32"/>
          <w:szCs w:val="32"/>
        </w:rPr>
        <w:t>空间规划的制定、实施和监督检查，应当建立健全</w:t>
      </w:r>
      <w:r>
        <w:rPr>
          <w:rFonts w:hint="eastAsia" w:ascii="仿宋_GB2312" w:hAnsi="Times New Roman" w:eastAsia="仿宋_GB2312" w:cs="仿宋_GB2312"/>
          <w:b w:val="0"/>
          <w:bCs/>
          <w:color w:val="auto"/>
          <w:sz w:val="32"/>
          <w:szCs w:val="32"/>
        </w:rPr>
        <w:t>贯穿国土空间规划全过程的</w:t>
      </w:r>
      <w:r>
        <w:rPr>
          <w:rFonts w:ascii="仿宋_GB2312" w:hAnsi="Times New Roman" w:eastAsia="仿宋_GB2312" w:cs="仿宋_GB2312"/>
          <w:b w:val="0"/>
          <w:bCs/>
          <w:color w:val="auto"/>
          <w:sz w:val="32"/>
          <w:szCs w:val="32"/>
        </w:rPr>
        <w:t>公众参与制度，</w:t>
      </w:r>
      <w:r>
        <w:rPr>
          <w:rFonts w:hint="eastAsia" w:ascii="仿宋_GB2312" w:hAnsi="Times New Roman" w:eastAsia="仿宋_GB2312" w:cs="仿宋_GB2312"/>
          <w:b w:val="0"/>
          <w:bCs/>
          <w:color w:val="auto"/>
          <w:sz w:val="32"/>
          <w:szCs w:val="32"/>
        </w:rPr>
        <w:t>听取</w:t>
      </w:r>
      <w:r>
        <w:rPr>
          <w:rFonts w:ascii="仿宋_GB2312" w:hAnsi="Times New Roman" w:eastAsia="仿宋_GB2312" w:cs="仿宋_GB2312"/>
          <w:b w:val="0"/>
          <w:bCs/>
          <w:color w:val="auto"/>
          <w:sz w:val="32"/>
          <w:szCs w:val="32"/>
        </w:rPr>
        <w:t>公众意见</w:t>
      </w:r>
      <w:r>
        <w:rPr>
          <w:rFonts w:hint="eastAsia" w:ascii="仿宋_GB2312" w:hAnsi="Times New Roman" w:eastAsia="仿宋_GB2312" w:cs="仿宋_GB2312"/>
          <w:b w:val="0"/>
          <w:bCs/>
          <w:color w:val="auto"/>
          <w:sz w:val="32"/>
          <w:szCs w:val="32"/>
        </w:rPr>
        <w:t>，充分发挥专家、智库的决策咨询作用。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rPr>
      </w:pPr>
      <w:bookmarkStart w:id="73" w:name="_Toc1588003419"/>
      <w:bookmarkStart w:id="74" w:name="_Toc880922858"/>
      <w:bookmarkStart w:id="75" w:name="_Toc1742601092"/>
      <w:bookmarkStart w:id="76" w:name="_Toc656664653"/>
      <w:bookmarkStart w:id="77" w:name="_Toc1329829893"/>
      <w:bookmarkStart w:id="78" w:name="_Toc42005376"/>
      <w:r>
        <w:rPr>
          <w:rFonts w:hint="eastAsia" w:ascii="仿宋_GB2312" w:hAnsi="仿宋_GB2312" w:eastAsia="仿宋_GB2312" w:cs="仿宋_GB2312"/>
          <w:color w:val="auto"/>
          <w:lang w:eastAsia="zh-CN"/>
        </w:rPr>
        <w:t>第八条</w:t>
      </w:r>
      <w:r>
        <w:rPr>
          <w:rFonts w:hint="eastAsia" w:ascii="仿宋_GB2312" w:hAnsi="仿宋_GB2312" w:eastAsia="仿宋_GB2312" w:cs="仿宋_GB2312"/>
          <w:color w:val="auto"/>
        </w:rPr>
        <w:t>【行业管理】</w:t>
      </w:r>
      <w:bookmarkEnd w:id="73"/>
      <w:bookmarkEnd w:id="74"/>
      <w:bookmarkEnd w:id="75"/>
      <w:bookmarkEnd w:id="76"/>
      <w:bookmarkEnd w:id="77"/>
      <w:bookmarkEnd w:id="78"/>
      <w:r>
        <w:rPr>
          <w:rFonts w:hint="eastAsia" w:ascii="仿宋_GB2312" w:hAnsi="仿宋_GB2312" w:eastAsia="仿宋_GB2312" w:cs="仿宋_GB2312"/>
          <w:b w:val="0"/>
          <w:bCs/>
          <w:color w:val="auto"/>
          <w:sz w:val="32"/>
          <w:szCs w:val="32"/>
        </w:rPr>
        <w:t>国土空间规划相关行业组织应当充分发挥行业和政府间的纽带作用，加强行业自律管理，推广业内优秀工作成果，促进行业机构以及专业技术人员诚信执业、探索创新，引导行业健康发展。</w:t>
      </w:r>
    </w:p>
    <w:p>
      <w:pPr>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p>
    <w:p>
      <w:pPr>
        <w:pStyle w:val="3"/>
        <w:keepNext w:val="0"/>
        <w:keepLines w:val="0"/>
        <w:pageBreakBefore w:val="0"/>
        <w:numPr>
          <w:ilvl w:val="0"/>
          <w:numId w:val="1"/>
        </w:numPr>
        <w:kinsoku/>
        <w:wordWrap/>
        <w:overflowPunct/>
        <w:topLinePunct w:val="0"/>
        <w:bidi w:val="0"/>
        <w:snapToGrid/>
        <w:spacing w:before="0" w:after="0" w:line="360" w:lineRule="auto"/>
        <w:jc w:val="center"/>
        <w:textAlignment w:val="auto"/>
        <w:rPr>
          <w:b w:val="0"/>
          <w:bCs/>
          <w:color w:val="auto"/>
        </w:rPr>
      </w:pPr>
      <w:bookmarkStart w:id="79" w:name="_Toc577646558"/>
      <w:bookmarkStart w:id="80" w:name="_Toc1175703816"/>
      <w:bookmarkStart w:id="81" w:name="_Toc1695144475"/>
      <w:bookmarkStart w:id="82" w:name="_Toc2125494460"/>
      <w:bookmarkStart w:id="83" w:name="_Toc1979879468"/>
      <w:bookmarkStart w:id="84" w:name="_Toc931284989"/>
      <w:r>
        <w:rPr>
          <w:rFonts w:hint="eastAsia"/>
          <w:b w:val="0"/>
          <w:bCs/>
          <w:color w:val="auto"/>
        </w:rPr>
        <w:t>国土空间规划制定</w:t>
      </w:r>
      <w:bookmarkEnd w:id="79"/>
      <w:bookmarkEnd w:id="80"/>
      <w:bookmarkEnd w:id="81"/>
      <w:bookmarkEnd w:id="82"/>
      <w:bookmarkEnd w:id="83"/>
      <w:bookmarkEnd w:id="84"/>
    </w:p>
    <w:p>
      <w:pPr>
        <w:pageBreakBefore w:val="0"/>
        <w:kinsoku/>
        <w:wordWrap/>
        <w:overflowPunct/>
        <w:topLinePunct w:val="0"/>
        <w:bidi w:val="0"/>
        <w:snapToGrid/>
        <w:spacing w:line="360" w:lineRule="auto"/>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bCs/>
          <w:color w:val="auto"/>
          <w:kern w:val="0"/>
          <w:sz w:val="32"/>
          <w:szCs w:val="32"/>
          <w:shd w:val="clear" w:color="auto" w:fill="FFFFFF"/>
          <w:lang w:bidi="ar"/>
        </w:rPr>
      </w:pPr>
      <w:bookmarkStart w:id="85" w:name="_Toc1117935332"/>
      <w:bookmarkStart w:id="86" w:name="_Toc1479046721"/>
      <w:bookmarkStart w:id="87" w:name="_Toc1454962884"/>
      <w:bookmarkStart w:id="88" w:name="_Toc711757911"/>
      <w:bookmarkStart w:id="89" w:name="_Toc472325658"/>
      <w:bookmarkStart w:id="90" w:name="_Toc2074091566"/>
      <w:r>
        <w:rPr>
          <w:rFonts w:hint="eastAsia" w:ascii="仿宋_GB2312" w:hAnsi="仿宋_GB2312" w:eastAsia="仿宋_GB2312" w:cs="仿宋_GB2312"/>
          <w:color w:val="auto"/>
          <w:lang w:eastAsia="zh-CN"/>
        </w:rPr>
        <w:t>第九条</w:t>
      </w:r>
      <w:r>
        <w:rPr>
          <w:rFonts w:hint="eastAsia" w:ascii="仿宋_GB2312" w:hAnsi="仿宋_GB2312" w:eastAsia="仿宋_GB2312" w:cs="仿宋_GB2312"/>
          <w:color w:val="auto"/>
        </w:rPr>
        <w:t>【</w:t>
      </w:r>
      <w:r>
        <w:rPr>
          <w:rFonts w:ascii="仿宋_GB2312" w:hAnsi="仿宋_GB2312" w:eastAsia="仿宋_GB2312" w:cs="仿宋_GB2312"/>
          <w:color w:val="auto"/>
        </w:rPr>
        <w:t>规划体系</w:t>
      </w:r>
      <w:r>
        <w:rPr>
          <w:rFonts w:hint="eastAsia" w:ascii="仿宋_GB2312" w:hAnsi="仿宋_GB2312" w:eastAsia="仿宋_GB2312" w:cs="仿宋_GB2312"/>
          <w:color w:val="auto"/>
        </w:rPr>
        <w:t>】</w:t>
      </w:r>
      <w:bookmarkEnd w:id="85"/>
      <w:bookmarkEnd w:id="86"/>
      <w:bookmarkEnd w:id="87"/>
      <w:bookmarkEnd w:id="88"/>
      <w:bookmarkEnd w:id="89"/>
      <w:bookmarkEnd w:id="90"/>
      <w:r>
        <w:rPr>
          <w:rFonts w:hint="eastAsia" w:ascii="仿宋_GB2312" w:hAnsi="仿宋_GB2312" w:eastAsia="仿宋_GB2312" w:cs="仿宋_GB2312"/>
          <w:b w:val="0"/>
          <w:bCs w:val="0"/>
          <w:color w:val="auto"/>
          <w:kern w:val="0"/>
          <w:sz w:val="32"/>
          <w:szCs w:val="32"/>
          <w:shd w:val="clear" w:color="auto" w:fill="FFFFFF"/>
          <w:lang w:bidi="ar"/>
        </w:rPr>
        <w:t>构建全域全要素、分级分类国土空间规划体系，有计划、有组织编制总体规划、详细规划和专项规划。</w:t>
      </w:r>
    </w:p>
    <w:p>
      <w:pPr>
        <w:pStyle w:val="20"/>
        <w:pageBreakBefore w:val="0"/>
        <w:kinsoku/>
        <w:wordWrap/>
        <w:overflowPunct/>
        <w:topLinePunct w:val="0"/>
        <w:bidi w:val="0"/>
        <w:snapToGrid/>
        <w:spacing w:line="360" w:lineRule="auto"/>
        <w:ind w:right="-99" w:firstLine="640"/>
        <w:textAlignment w:val="auto"/>
        <w:rPr>
          <w:rFonts w:hint="eastAsia" w:asci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下级国土空间规划应当服从上级国土空间规划，详细规划、专项规划应当服从总体规划，不得突破上位规划强制性内容。</w:t>
      </w:r>
      <w:r>
        <w:rPr>
          <w:rFonts w:ascii="仿宋_GB2312" w:hAnsi="宋体" w:eastAsia="仿宋_GB2312" w:cs="仿宋_GB2312"/>
          <w:color w:val="auto"/>
          <w:kern w:val="0"/>
          <w:sz w:val="31"/>
          <w:szCs w:val="31"/>
          <w:lang w:bidi="ar"/>
        </w:rPr>
        <w:t>总体规划</w:t>
      </w:r>
      <w:r>
        <w:rPr>
          <w:rFonts w:hint="eastAsia" w:ascii="仿宋_GB2312" w:hAnsi="宋体" w:eastAsia="仿宋_GB2312" w:cs="仿宋_GB2312"/>
          <w:color w:val="auto"/>
          <w:kern w:val="0"/>
          <w:sz w:val="31"/>
          <w:szCs w:val="31"/>
          <w:lang w:bidi="ar"/>
        </w:rPr>
        <w:t>是详细规划的依据、专项规划的基础。专项规划应相互协同，其主要内容应</w:t>
      </w:r>
      <w:r>
        <w:rPr>
          <w:rFonts w:hint="eastAsia" w:ascii="仿宋_GB2312" w:hAnsi="宋体" w:eastAsia="仿宋_GB2312" w:cs="仿宋_GB2312"/>
          <w:color w:val="auto"/>
          <w:kern w:val="0"/>
          <w:sz w:val="31"/>
          <w:szCs w:val="31"/>
          <w:lang w:val="en-US" w:eastAsia="zh-CN" w:bidi="ar"/>
        </w:rPr>
        <w:t>当</w:t>
      </w:r>
      <w:r>
        <w:rPr>
          <w:rFonts w:hint="eastAsia" w:ascii="仿宋_GB2312" w:hAnsi="宋体" w:eastAsia="仿宋_GB2312" w:cs="仿宋_GB2312"/>
          <w:color w:val="auto"/>
          <w:kern w:val="0"/>
          <w:sz w:val="31"/>
          <w:szCs w:val="31"/>
          <w:lang w:bidi="ar"/>
        </w:rPr>
        <w:t>纳入详细规划</w:t>
      </w:r>
      <w:r>
        <w:rPr>
          <w:rFonts w:hint="eastAsia" w:ascii="仿宋_GB2312" w:eastAsia="仿宋_GB2312" w:cs="仿宋_GB2312"/>
          <w:color w:val="auto"/>
          <w:sz w:val="32"/>
          <w:szCs w:val="32"/>
        </w:rPr>
        <w:t>。</w:t>
      </w:r>
    </w:p>
    <w:p>
      <w:pPr>
        <w:pStyle w:val="20"/>
        <w:pageBreakBefore w:val="0"/>
        <w:kinsoku/>
        <w:wordWrap/>
        <w:overflowPunct/>
        <w:topLinePunct w:val="0"/>
        <w:bidi w:val="0"/>
        <w:snapToGrid/>
        <w:spacing w:line="360" w:lineRule="auto"/>
        <w:ind w:right="-99" w:firstLine="64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编制总体规划、详细规划、专项规划应当充分利用生态环境分区管控成果，按规定开展环境影响评价或进行生态环境分区管控相符性分析</w:t>
      </w:r>
      <w:r>
        <w:rPr>
          <w:rFonts w:hint="eastAsia" w:ascii="仿宋_GB2312" w:eastAsia="仿宋_GB2312" w:cs="仿宋_GB2312"/>
          <w:color w:val="auto"/>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Times New Roman" w:eastAsia="仿宋_GB2312" w:cs="仿宋_GB2312"/>
          <w:color w:val="auto"/>
          <w:kern w:val="0"/>
          <w:sz w:val="32"/>
          <w:szCs w:val="32"/>
        </w:rPr>
      </w:pPr>
      <w:bookmarkStart w:id="91" w:name="_Toc458755346"/>
      <w:bookmarkStart w:id="92" w:name="_Toc1578874030"/>
      <w:bookmarkStart w:id="93" w:name="_Toc1314431937"/>
      <w:bookmarkStart w:id="94" w:name="_Toc1577093251"/>
      <w:bookmarkStart w:id="95" w:name="_Toc1425641947"/>
      <w:bookmarkStart w:id="96" w:name="_Toc1062906899"/>
      <w:r>
        <w:rPr>
          <w:rFonts w:hint="eastAsia" w:ascii="仿宋_GB2312" w:hAnsi="仿宋_GB2312" w:eastAsia="仿宋_GB2312" w:cs="仿宋_GB2312"/>
          <w:color w:val="auto"/>
          <w:lang w:eastAsia="zh-CN"/>
        </w:rPr>
        <w:t>第十条</w:t>
      </w:r>
      <w:r>
        <w:rPr>
          <w:rFonts w:hint="eastAsia" w:ascii="仿宋_GB2312" w:hAnsi="仿宋_GB2312" w:eastAsia="仿宋_GB2312" w:cs="仿宋_GB2312"/>
          <w:color w:val="auto"/>
        </w:rPr>
        <w:t>【</w:t>
      </w:r>
      <w:r>
        <w:rPr>
          <w:rFonts w:ascii="仿宋_GB2312" w:hAnsi="仿宋_GB2312" w:eastAsia="仿宋_GB2312" w:cs="仿宋_GB2312"/>
          <w:color w:val="auto"/>
        </w:rPr>
        <w:t>总体规划</w:t>
      </w:r>
      <w:r>
        <w:rPr>
          <w:rFonts w:hint="eastAsia" w:ascii="仿宋_GB2312" w:hAnsi="仿宋_GB2312" w:eastAsia="仿宋_GB2312" w:cs="仿宋_GB2312"/>
          <w:color w:val="auto"/>
        </w:rPr>
        <w:t>编审】</w:t>
      </w:r>
      <w:bookmarkEnd w:id="91"/>
      <w:bookmarkEnd w:id="92"/>
      <w:bookmarkEnd w:id="93"/>
      <w:bookmarkEnd w:id="94"/>
      <w:bookmarkEnd w:id="95"/>
      <w:bookmarkEnd w:id="96"/>
      <w:r>
        <w:rPr>
          <w:rFonts w:hint="eastAsia" w:ascii="仿宋_GB2312" w:hAnsi="Times New Roman" w:eastAsia="仿宋_GB2312" w:cs="仿宋_GB2312"/>
          <w:b w:val="0"/>
          <w:bCs/>
          <w:color w:val="auto"/>
          <w:kern w:val="0"/>
          <w:sz w:val="32"/>
          <w:szCs w:val="32"/>
        </w:rPr>
        <w:t>总体规划按照市级国土空间总体规划、</w:t>
      </w:r>
      <w:r>
        <w:rPr>
          <w:rFonts w:hint="eastAsia" w:ascii="仿宋_GB2312" w:hAnsi="Times New Roman" w:eastAsia="仿宋_GB2312" w:cs="仿宋_GB2312"/>
          <w:b w:val="0"/>
          <w:bCs/>
          <w:color w:val="auto"/>
          <w:kern w:val="0"/>
          <w:sz w:val="32"/>
          <w:szCs w:val="32"/>
          <w:lang w:eastAsia="zh-CN"/>
        </w:rPr>
        <w:t>国土空间</w:t>
      </w:r>
      <w:r>
        <w:rPr>
          <w:rFonts w:hint="eastAsia" w:ascii="仿宋_GB2312" w:hAnsi="Times New Roman" w:eastAsia="仿宋_GB2312" w:cs="仿宋_GB2312"/>
          <w:b w:val="0"/>
          <w:bCs/>
          <w:color w:val="auto"/>
          <w:kern w:val="0"/>
          <w:sz w:val="32"/>
          <w:szCs w:val="32"/>
        </w:rPr>
        <w:t>分区规划和镇级国土空间总体规划进行编制，镇级国土空间总体规划可单独编制，也可与分区规划合并编制。</w:t>
      </w:r>
    </w:p>
    <w:p>
      <w:pPr>
        <w:pageBreakBefore w:val="0"/>
        <w:shd w:val="clear" w:color="auto" w:fill="FFFFFF"/>
        <w:kinsoku/>
        <w:wordWrap/>
        <w:overflowPunct/>
        <w:topLinePunct w:val="0"/>
        <w:bidi w:val="0"/>
        <w:snapToGrid/>
        <w:spacing w:line="360" w:lineRule="auto"/>
        <w:ind w:firstLine="640" w:firstLineChars="20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市级国土空间总体规划由市人民政府组织编制，</w:t>
      </w:r>
      <w:r>
        <w:rPr>
          <w:rFonts w:ascii="仿宋_GB2312" w:hAnsi="Times New Roman" w:eastAsia="仿宋_GB2312" w:cs="仿宋_GB2312"/>
          <w:color w:val="auto"/>
          <w:kern w:val="0"/>
          <w:sz w:val="32"/>
          <w:szCs w:val="32"/>
        </w:rPr>
        <w:t>经市人民代表大会常务委员会审议</w:t>
      </w:r>
      <w:r>
        <w:rPr>
          <w:rFonts w:hint="eastAsia" w:ascii="仿宋_GB2312" w:hAnsi="Times New Roman" w:eastAsia="仿宋_GB2312" w:cs="仿宋_GB2312"/>
          <w:color w:val="auto"/>
          <w:kern w:val="0"/>
          <w:sz w:val="32"/>
          <w:szCs w:val="32"/>
        </w:rPr>
        <w:t>，</w:t>
      </w:r>
      <w:r>
        <w:rPr>
          <w:rFonts w:hint="eastAsia" w:ascii="仿宋_GB2312" w:hAnsi="仿宋_GB2312" w:eastAsia="仿宋_GB2312" w:cs="仿宋_GB2312"/>
          <w:color w:val="auto"/>
          <w:sz w:val="32"/>
          <w:szCs w:val="32"/>
        </w:rPr>
        <w:t>由省人民政府审查同意后报国务院审批。</w:t>
      </w:r>
    </w:p>
    <w:p>
      <w:pPr>
        <w:pageBreakBefore w:val="0"/>
        <w:kinsoku/>
        <w:wordWrap/>
        <w:overflowPunct/>
        <w:topLinePunct w:val="0"/>
        <w:autoSpaceDE w:val="0"/>
        <w:autoSpaceDN w:val="0"/>
        <w:bidi w:val="0"/>
        <w:adjustRightInd w:val="0"/>
        <w:snapToGrid/>
        <w:spacing w:line="360" w:lineRule="auto"/>
        <w:ind w:firstLine="640" w:firstLineChars="200"/>
        <w:textAlignment w:val="auto"/>
        <w:rPr>
          <w:rFonts w:hint="eastAsia" w:ascii="仿宋_GB2312" w:hAnsi="Times New Roman" w:eastAsia="宋体" w:cs="仿宋_GB2312"/>
          <w:color w:val="auto"/>
          <w:kern w:val="0"/>
          <w:sz w:val="32"/>
          <w:szCs w:val="32"/>
          <w:lang w:eastAsia="zh-CN"/>
        </w:rPr>
      </w:pPr>
      <w:r>
        <w:rPr>
          <w:rFonts w:hint="eastAsia" w:ascii="仿宋_GB2312" w:hAnsi="Times New Roman" w:eastAsia="仿宋_GB2312" w:cs="仿宋_GB2312"/>
          <w:color w:val="auto"/>
          <w:kern w:val="0"/>
          <w:sz w:val="32"/>
          <w:szCs w:val="32"/>
          <w:lang w:eastAsia="zh-CN"/>
        </w:rPr>
        <w:t>国土空间</w:t>
      </w:r>
      <w:r>
        <w:rPr>
          <w:rFonts w:hint="eastAsia" w:ascii="仿宋_GB2312" w:hAnsi="Times New Roman" w:eastAsia="仿宋_GB2312" w:cs="仿宋_GB2312"/>
          <w:color w:val="auto"/>
          <w:kern w:val="0"/>
          <w:sz w:val="32"/>
          <w:szCs w:val="32"/>
        </w:rPr>
        <w:t>分区规划由市资源规划主管部门会同区人民政府组织编制，经区人民代表大会常务委员会审议后，</w:t>
      </w:r>
      <w:r>
        <w:rPr>
          <w:rFonts w:hint="eastAsia" w:ascii="仿宋_GB2312" w:hAnsi="Times New Roman" w:eastAsia="仿宋_GB2312" w:cs="仿宋_GB2312"/>
          <w:color w:val="auto"/>
          <w:kern w:val="0"/>
          <w:sz w:val="32"/>
          <w:szCs w:val="32"/>
          <w:lang w:val="en-US" w:eastAsia="zh-CN"/>
        </w:rPr>
        <w:t>由</w:t>
      </w:r>
      <w:r>
        <w:rPr>
          <w:rFonts w:hint="eastAsia" w:ascii="仿宋_GB2312" w:hAnsi="Times New Roman" w:eastAsia="仿宋_GB2312" w:cs="仿宋_GB2312"/>
          <w:color w:val="auto"/>
          <w:kern w:val="0"/>
          <w:sz w:val="32"/>
          <w:szCs w:val="32"/>
        </w:rPr>
        <w:t>市资源规划主管部门报市人民政府审批</w:t>
      </w:r>
      <w:r>
        <w:rPr>
          <w:rFonts w:hint="eastAsia" w:ascii="仿宋_GB2312" w:hAnsi="Times New Roman" w:eastAsia="仿宋_GB2312" w:cs="仿宋_GB2312"/>
          <w:color w:val="auto"/>
          <w:kern w:val="0"/>
          <w:sz w:val="32"/>
          <w:szCs w:val="32"/>
          <w:lang w:eastAsia="zh-CN"/>
        </w:rPr>
        <w:t>。</w:t>
      </w:r>
    </w:p>
    <w:p>
      <w:pPr>
        <w:pageBreakBefore w:val="0"/>
        <w:shd w:val="clear" w:color="auto" w:fill="FFFFFF"/>
        <w:kinsoku/>
        <w:wordWrap/>
        <w:overflowPunct/>
        <w:topLinePunct w:val="0"/>
        <w:bidi w:val="0"/>
        <w:snapToGrid/>
        <w:spacing w:line="360" w:lineRule="auto"/>
        <w:ind w:firstLine="640" w:firstLineChars="20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单独编制的镇级国土空间总体规划由镇人民政府会同市资源规划主管部门组织编制，</w:t>
      </w:r>
      <w:r>
        <w:rPr>
          <w:rFonts w:ascii="仿宋_GB2312" w:hAnsi="Times New Roman" w:eastAsia="仿宋_GB2312" w:cs="仿宋_GB2312"/>
          <w:color w:val="auto"/>
          <w:kern w:val="0"/>
          <w:sz w:val="32"/>
          <w:szCs w:val="32"/>
        </w:rPr>
        <w:t>经</w:t>
      </w:r>
      <w:r>
        <w:rPr>
          <w:rFonts w:hint="eastAsia" w:ascii="仿宋_GB2312" w:hAnsi="Times New Roman" w:eastAsia="仿宋_GB2312" w:cs="仿宋_GB2312"/>
          <w:color w:val="auto"/>
          <w:kern w:val="0"/>
          <w:sz w:val="32"/>
          <w:szCs w:val="32"/>
        </w:rPr>
        <w:t>镇</w:t>
      </w:r>
      <w:r>
        <w:rPr>
          <w:rFonts w:ascii="仿宋_GB2312" w:hAnsi="Times New Roman" w:eastAsia="仿宋_GB2312" w:cs="仿宋_GB2312"/>
          <w:color w:val="auto"/>
          <w:kern w:val="0"/>
          <w:sz w:val="32"/>
          <w:szCs w:val="32"/>
        </w:rPr>
        <w:t>人民代表大会审议，</w:t>
      </w:r>
      <w:r>
        <w:rPr>
          <w:rFonts w:hint="eastAsia" w:ascii="仿宋_GB2312" w:hAnsi="Times New Roman" w:eastAsia="仿宋_GB2312" w:cs="仿宋_GB2312"/>
          <w:color w:val="auto"/>
          <w:kern w:val="0"/>
          <w:sz w:val="32"/>
          <w:szCs w:val="32"/>
        </w:rPr>
        <w:t>由区人民政府审查同意后报市人民政府审批。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sz w:val="32"/>
          <w:szCs w:val="32"/>
        </w:rPr>
      </w:pPr>
      <w:bookmarkStart w:id="97" w:name="_Toc1167098290"/>
      <w:bookmarkStart w:id="98" w:name="_Toc1473594604"/>
      <w:bookmarkStart w:id="99" w:name="_Toc1096607826"/>
      <w:bookmarkStart w:id="100" w:name="_Toc222235210"/>
      <w:bookmarkStart w:id="101" w:name="_Toc541171852"/>
      <w:bookmarkStart w:id="102" w:name="_Toc75740379"/>
      <w:r>
        <w:rPr>
          <w:rFonts w:hint="eastAsia" w:ascii="仿宋_GB2312" w:hAnsi="仿宋_GB2312" w:eastAsia="仿宋_GB2312" w:cs="仿宋_GB2312"/>
          <w:color w:val="auto"/>
          <w:lang w:eastAsia="zh-CN"/>
        </w:rPr>
        <w:t>第十一条</w:t>
      </w:r>
      <w:r>
        <w:rPr>
          <w:rFonts w:hint="eastAsia" w:ascii="仿宋_GB2312" w:hAnsi="仿宋_GB2312" w:eastAsia="仿宋_GB2312" w:cs="仿宋_GB2312"/>
          <w:color w:val="auto"/>
        </w:rPr>
        <w:t>【总体规划修改维护】</w:t>
      </w:r>
      <w:bookmarkEnd w:id="97"/>
      <w:bookmarkEnd w:id="98"/>
      <w:bookmarkEnd w:id="99"/>
      <w:bookmarkEnd w:id="100"/>
      <w:bookmarkEnd w:id="101"/>
      <w:bookmarkEnd w:id="102"/>
      <w:r>
        <w:rPr>
          <w:rFonts w:hint="eastAsia" w:ascii="仿宋_GB2312" w:hAnsi="仿宋_GB2312" w:eastAsia="仿宋_GB2312" w:cs="仿宋_GB2312"/>
          <w:b w:val="0"/>
          <w:bCs/>
          <w:color w:val="auto"/>
          <w:sz w:val="32"/>
          <w:szCs w:val="32"/>
          <w:shd w:val="clear" w:color="auto" w:fill="FFFFFF"/>
          <w:lang w:bidi="ar"/>
        </w:rPr>
        <w:t>因上级国土空间规划发生变更</w:t>
      </w:r>
      <w:r>
        <w:rPr>
          <w:rFonts w:hint="eastAsia" w:ascii="仿宋_GB2312" w:hAnsi="仿宋_GB2312" w:eastAsia="仿宋_GB2312" w:cs="仿宋_GB2312"/>
          <w:b w:val="0"/>
          <w:bCs/>
          <w:color w:val="auto"/>
          <w:sz w:val="32"/>
          <w:szCs w:val="32"/>
          <w:shd w:val="clear" w:color="auto" w:fill="FFFFFF"/>
          <w:lang w:eastAsia="zh-CN" w:bidi="ar"/>
        </w:rPr>
        <w:t>、</w:t>
      </w:r>
      <w:r>
        <w:rPr>
          <w:rFonts w:hint="eastAsia" w:ascii="仿宋_GB2312" w:hAnsi="仿宋_GB2312" w:eastAsia="仿宋_GB2312" w:cs="仿宋_GB2312"/>
          <w:b w:val="0"/>
          <w:bCs/>
          <w:color w:val="auto"/>
          <w:sz w:val="32"/>
          <w:szCs w:val="32"/>
          <w:shd w:val="clear" w:color="auto" w:fill="FFFFFF"/>
          <w:lang w:bidi="ar"/>
        </w:rPr>
        <w:t>国家重大战略调整、重大项目建设、行政区划调整需要修改的，</w:t>
      </w:r>
      <w:r>
        <w:rPr>
          <w:rFonts w:hint="eastAsia" w:ascii="仿宋_GB2312" w:hAnsi="仿宋_GB2312" w:eastAsia="仿宋_GB2312" w:cs="仿宋_GB2312"/>
          <w:b w:val="0"/>
          <w:bCs/>
          <w:color w:val="auto"/>
          <w:sz w:val="32"/>
          <w:szCs w:val="32"/>
        </w:rPr>
        <w:t>经规划</w:t>
      </w:r>
      <w:r>
        <w:rPr>
          <w:rFonts w:hint="eastAsia" w:ascii="仿宋_GB2312" w:hAnsi="仿宋_GB2312" w:eastAsia="仿宋_GB2312" w:cs="仿宋_GB2312"/>
          <w:b w:val="0"/>
          <w:bCs/>
          <w:color w:val="auto"/>
          <w:sz w:val="32"/>
          <w:szCs w:val="32"/>
          <w:lang w:eastAsia="zh-CN"/>
        </w:rPr>
        <w:t>原</w:t>
      </w:r>
      <w:r>
        <w:rPr>
          <w:rFonts w:hint="eastAsia" w:ascii="仿宋_GB2312" w:hAnsi="仿宋_GB2312" w:eastAsia="仿宋_GB2312" w:cs="仿宋_GB2312"/>
          <w:b w:val="0"/>
          <w:bCs/>
          <w:color w:val="auto"/>
          <w:sz w:val="32"/>
          <w:szCs w:val="32"/>
        </w:rPr>
        <w:t>审批机关同意后</w:t>
      </w:r>
      <w:r>
        <w:rPr>
          <w:rFonts w:hint="eastAsia" w:ascii="仿宋_GB2312" w:hAnsi="仿宋_GB2312" w:eastAsia="仿宋_GB2312" w:cs="仿宋_GB2312"/>
          <w:b w:val="0"/>
          <w:bCs/>
          <w:color w:val="auto"/>
          <w:sz w:val="32"/>
          <w:szCs w:val="32"/>
          <w:lang w:eastAsia="zh-CN"/>
        </w:rPr>
        <w:t>，按程序</w:t>
      </w:r>
      <w:r>
        <w:rPr>
          <w:rFonts w:hint="eastAsia" w:ascii="仿宋_GB2312" w:hAnsi="仿宋_GB2312" w:eastAsia="仿宋_GB2312" w:cs="仿宋_GB2312"/>
          <w:b w:val="0"/>
          <w:bCs/>
          <w:color w:val="auto"/>
          <w:sz w:val="32"/>
          <w:szCs w:val="32"/>
          <w:shd w:val="clear" w:color="auto" w:fill="FFFFFF"/>
          <w:lang w:bidi="ar"/>
        </w:rPr>
        <w:t>对国土空间总体规划进行修改。</w:t>
      </w:r>
    </w:p>
    <w:p>
      <w:pPr>
        <w:pageBreakBefore w:val="0"/>
        <w:shd w:val="clear" w:color="auto" w:fill="FFFFFF"/>
        <w:kinsoku/>
        <w:wordWrap/>
        <w:overflowPunct/>
        <w:topLinePunct w:val="0"/>
        <w:bidi w:val="0"/>
        <w:snapToGrid/>
        <w:spacing w:line="360" w:lineRule="auto"/>
        <w:ind w:firstLine="640" w:firstLineChars="200"/>
        <w:jc w:val="both"/>
        <w:textAlignment w:val="auto"/>
        <w:rPr>
          <w:color w:val="auto"/>
        </w:rPr>
      </w:pPr>
      <w:r>
        <w:rPr>
          <w:rFonts w:hint="eastAsia" w:ascii="仿宋_GB2312" w:hAnsi="仿宋_GB2312" w:eastAsia="仿宋_GB2312" w:cs="仿宋_GB2312"/>
          <w:color w:val="auto"/>
          <w:kern w:val="0"/>
          <w:sz w:val="32"/>
          <w:szCs w:val="32"/>
          <w:shd w:val="clear" w:color="auto" w:fill="FFFFFF"/>
          <w:lang w:bidi="ar"/>
        </w:rPr>
        <w:t>国土空间总体规划应当根据国土空间规划城市体检评估结果进行定期动态维护</w:t>
      </w:r>
      <w:r>
        <w:rPr>
          <w:rFonts w:hint="eastAsia" w:ascii="仿宋_GB2312" w:hAnsi="仿宋_GB2312" w:eastAsia="仿宋_GB2312" w:cs="仿宋_GB2312"/>
          <w:color w:val="auto"/>
          <w:kern w:val="0"/>
          <w:sz w:val="32"/>
          <w:szCs w:val="32"/>
          <w:shd w:val="clear" w:color="auto" w:fill="FFFFFF"/>
          <w:lang w:eastAsia="zh-CN" w:bidi="ar"/>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Times New Roman" w:eastAsia="仿宋_GB2312" w:cs="仿宋_GB2312"/>
          <w:color w:val="auto"/>
          <w:sz w:val="32"/>
          <w:szCs w:val="32"/>
        </w:rPr>
      </w:pPr>
      <w:bookmarkStart w:id="103" w:name="_Toc1427436785"/>
      <w:bookmarkStart w:id="104" w:name="_Toc652024180"/>
      <w:bookmarkStart w:id="105" w:name="_Toc1201579896"/>
      <w:bookmarkStart w:id="106" w:name="_Toc797168576"/>
      <w:bookmarkStart w:id="107" w:name="_Toc1240541239"/>
      <w:bookmarkStart w:id="108" w:name="_Toc1643250531"/>
      <w:r>
        <w:rPr>
          <w:rFonts w:hint="eastAsia" w:ascii="仿宋_GB2312" w:hAnsi="仿宋_GB2312" w:eastAsia="仿宋_GB2312" w:cs="仿宋_GB2312"/>
          <w:color w:val="auto"/>
          <w:lang w:eastAsia="zh-CN"/>
        </w:rPr>
        <w:t>第十二条</w:t>
      </w:r>
      <w:r>
        <w:rPr>
          <w:rFonts w:hint="eastAsia" w:ascii="仿宋_GB2312" w:hAnsi="仿宋_GB2312" w:eastAsia="仿宋_GB2312" w:cs="仿宋_GB2312"/>
          <w:color w:val="auto"/>
        </w:rPr>
        <w:t>【</w:t>
      </w:r>
      <w:r>
        <w:rPr>
          <w:rFonts w:ascii="仿宋_GB2312" w:hAnsi="仿宋_GB2312" w:eastAsia="仿宋_GB2312" w:cs="仿宋_GB2312"/>
          <w:color w:val="auto"/>
        </w:rPr>
        <w:t>详细规划编审</w:t>
      </w:r>
      <w:r>
        <w:rPr>
          <w:rFonts w:hint="eastAsia" w:ascii="仿宋_GB2312" w:hAnsi="仿宋_GB2312" w:eastAsia="仿宋_GB2312" w:cs="仿宋_GB2312"/>
          <w:color w:val="auto"/>
        </w:rPr>
        <w:t>】</w:t>
      </w:r>
      <w:bookmarkEnd w:id="103"/>
      <w:bookmarkEnd w:id="104"/>
      <w:bookmarkEnd w:id="105"/>
      <w:bookmarkEnd w:id="106"/>
      <w:bookmarkEnd w:id="107"/>
      <w:bookmarkEnd w:id="108"/>
      <w:r>
        <w:rPr>
          <w:rFonts w:hint="eastAsia" w:ascii="仿宋_GB2312" w:hAnsi="Times New Roman" w:eastAsia="仿宋_GB2312" w:cs="仿宋_GB2312"/>
          <w:b w:val="0"/>
          <w:bCs/>
          <w:color w:val="auto"/>
          <w:sz w:val="32"/>
          <w:szCs w:val="32"/>
        </w:rPr>
        <w:t>详细规划包括城镇开发边界内详细规划、村庄规划、陆域特殊管控地区详细规划、海域特殊管控地区详细规划。</w:t>
      </w:r>
    </w:p>
    <w:p>
      <w:pPr>
        <w:pageBreakBefore w:val="0"/>
        <w:kinsoku/>
        <w:wordWrap/>
        <w:overflowPunct/>
        <w:topLinePunct w:val="0"/>
        <w:bidi w:val="0"/>
        <w:snapToGrid/>
        <w:spacing w:line="360" w:lineRule="auto"/>
        <w:ind w:firstLine="640" w:firstLineChars="200"/>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城镇开发边界内详细规划、陆域特殊管控地区详细规划及海域特殊管控地区详细规划，由市资源规划主管部门组织编制，经市人民政府审批后，</w:t>
      </w:r>
      <w:r>
        <w:rPr>
          <w:rFonts w:hint="eastAsia" w:ascii="仿宋_GB2312" w:hAnsi="Times New Roman" w:eastAsia="仿宋_GB2312" w:cs="仿宋_GB2312"/>
          <w:color w:val="auto"/>
          <w:sz w:val="32"/>
          <w:szCs w:val="32"/>
          <w:lang w:val="en-US" w:eastAsia="zh-CN"/>
        </w:rPr>
        <w:t>按照相关法律法规规定进行备案。</w:t>
      </w:r>
    </w:p>
    <w:p>
      <w:pPr>
        <w:pageBreakBefore w:val="0"/>
        <w:kinsoku/>
        <w:wordWrap/>
        <w:overflowPunct/>
        <w:topLinePunct w:val="0"/>
        <w:bidi w:val="0"/>
        <w:snapToGrid/>
        <w:spacing w:line="360" w:lineRule="auto"/>
        <w:ind w:firstLine="640" w:firstLineChars="200"/>
        <w:textAlignment w:val="auto"/>
        <w:rPr>
          <w:rFonts w:hint="eastAsia"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村庄规划由所在地的</w:t>
      </w:r>
      <w:r>
        <w:rPr>
          <w:rFonts w:hint="eastAsia" w:ascii="仿宋_GB2312" w:hAnsi="Times New Roman" w:eastAsia="仿宋_GB2312" w:cs="仿宋_GB2312"/>
          <w:color w:val="auto"/>
          <w:sz w:val="32"/>
          <w:szCs w:val="32"/>
          <w:lang w:eastAsia="zh-CN"/>
        </w:rPr>
        <w:t>镇人民政府（街道办事处）</w:t>
      </w:r>
      <w:r>
        <w:rPr>
          <w:rFonts w:hint="eastAsia" w:ascii="仿宋_GB2312" w:hAnsi="Times New Roman" w:eastAsia="仿宋_GB2312" w:cs="仿宋_GB2312"/>
          <w:color w:val="auto"/>
          <w:sz w:val="32"/>
          <w:szCs w:val="32"/>
        </w:rPr>
        <w:t>组织编制，经村（居）民会议或</w:t>
      </w:r>
      <w:r>
        <w:rPr>
          <w:rFonts w:hint="eastAsia" w:ascii="仿宋_GB2312" w:hAnsi="Times New Roman" w:eastAsia="仿宋_GB2312" w:cs="仿宋_GB2312"/>
          <w:color w:val="auto"/>
          <w:sz w:val="32"/>
          <w:szCs w:val="32"/>
          <w:lang w:eastAsia="zh-CN"/>
        </w:rPr>
        <w:t>者</w:t>
      </w:r>
      <w:r>
        <w:rPr>
          <w:rFonts w:hint="eastAsia" w:ascii="仿宋_GB2312" w:hAnsi="Times New Roman" w:eastAsia="仿宋_GB2312" w:cs="仿宋_GB2312"/>
          <w:color w:val="auto"/>
          <w:sz w:val="32"/>
          <w:szCs w:val="32"/>
        </w:rPr>
        <w:t>村（居）民代表会议讨论同意后，报区人民政府审批。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Times New Roman" w:eastAsia="仿宋_GB2312" w:cs="仿宋_GB2312"/>
          <w:color w:val="auto"/>
          <w:sz w:val="32"/>
          <w:szCs w:val="32"/>
        </w:rPr>
      </w:pPr>
      <w:bookmarkStart w:id="109" w:name="_Toc2121162747"/>
      <w:bookmarkStart w:id="110" w:name="_Toc631614561"/>
      <w:bookmarkStart w:id="111" w:name="_Toc618327075"/>
      <w:bookmarkStart w:id="112" w:name="_Toc1015973233"/>
      <w:bookmarkStart w:id="113" w:name="_Toc157644619"/>
      <w:bookmarkStart w:id="114" w:name="_Toc636655634"/>
      <w:r>
        <w:rPr>
          <w:rFonts w:hint="eastAsia" w:ascii="仿宋_GB2312" w:hAnsi="仿宋_GB2312" w:eastAsia="仿宋_GB2312" w:cs="仿宋_GB2312"/>
          <w:color w:val="auto"/>
          <w:lang w:eastAsia="zh-CN"/>
        </w:rPr>
        <w:t>第十三条</w:t>
      </w:r>
      <w:r>
        <w:rPr>
          <w:rFonts w:hint="eastAsia" w:ascii="仿宋_GB2312" w:hAnsi="仿宋_GB2312" w:eastAsia="仿宋_GB2312" w:cs="仿宋_GB2312"/>
          <w:color w:val="auto"/>
        </w:rPr>
        <w:t>【详细规划分层管控】</w:t>
      </w:r>
      <w:bookmarkEnd w:id="109"/>
      <w:bookmarkEnd w:id="110"/>
      <w:bookmarkEnd w:id="111"/>
      <w:bookmarkEnd w:id="112"/>
      <w:bookmarkEnd w:id="113"/>
      <w:bookmarkEnd w:id="114"/>
      <w:r>
        <w:rPr>
          <w:rFonts w:hint="eastAsia" w:ascii="仿宋_GB2312" w:hAnsi="Times New Roman" w:eastAsia="仿宋_GB2312" w:cs="仿宋_GB2312"/>
          <w:b w:val="0"/>
          <w:bCs/>
          <w:color w:val="auto"/>
          <w:sz w:val="32"/>
          <w:szCs w:val="32"/>
        </w:rPr>
        <w:t>市资源规划主管部门组织划定全域全覆盖的详细规划单元，作为各类详细规划落实传导、编制修改、实施监督的基本单元。</w:t>
      </w:r>
    </w:p>
    <w:p>
      <w:pPr>
        <w:pageBreakBefore w:val="0"/>
        <w:kinsoku/>
        <w:wordWrap/>
        <w:overflowPunct/>
        <w:topLinePunct w:val="0"/>
        <w:bidi w:val="0"/>
        <w:snapToGrid/>
        <w:spacing w:line="360" w:lineRule="auto"/>
        <w:ind w:firstLine="640" w:firstLineChars="200"/>
        <w:textAlignment w:val="auto"/>
        <w:rPr>
          <w:rFonts w:hint="eastAsia" w:ascii="仿宋_GB2312" w:hAnsi="Times New Roman" w:eastAsia="仿宋_GB2312" w:cs="仿宋_GB2312"/>
          <w:color w:val="auto"/>
          <w:sz w:val="32"/>
          <w:szCs w:val="32"/>
          <w:lang w:eastAsia="zh-CN"/>
        </w:rPr>
      </w:pPr>
      <w:r>
        <w:rPr>
          <w:rFonts w:hint="eastAsia" w:ascii="仿宋_GB2312" w:hAnsi="Times New Roman" w:eastAsia="仿宋_GB2312" w:cs="仿宋_GB2312"/>
          <w:color w:val="auto"/>
          <w:sz w:val="32"/>
          <w:szCs w:val="32"/>
        </w:rPr>
        <w:t>实行“单元详细规划－实施详细规划”的详细规划分层</w:t>
      </w:r>
      <w:r>
        <w:rPr>
          <w:rFonts w:hint="eastAsia" w:ascii="仿宋_GB2312" w:hAnsi="Times New Roman" w:eastAsia="仿宋_GB2312" w:cs="仿宋_GB2312"/>
          <w:color w:val="auto"/>
          <w:sz w:val="32"/>
          <w:szCs w:val="32"/>
          <w:lang w:eastAsia="zh-CN"/>
        </w:rPr>
        <w:t>编制管理机制</w:t>
      </w:r>
      <w:r>
        <w:rPr>
          <w:rFonts w:hint="eastAsia" w:ascii="仿宋_GB2312" w:hAnsi="Times New Roman" w:eastAsia="仿宋_GB2312" w:cs="仿宋_GB2312"/>
          <w:color w:val="auto"/>
          <w:sz w:val="32"/>
          <w:szCs w:val="32"/>
        </w:rPr>
        <w:t>。区人民政府或行业主管部门可以依据单元详细规划组织编制实施详细规划，作为指导地块开发建设的详细实施安排</w:t>
      </w:r>
      <w:r>
        <w:rPr>
          <w:rFonts w:hint="eastAsia" w:ascii="仿宋_GB2312" w:hAnsi="Times New Roman" w:eastAsia="仿宋_GB2312" w:cs="仿宋_GB2312"/>
          <w:color w:val="auto"/>
          <w:sz w:val="32"/>
          <w:szCs w:val="32"/>
          <w:lang w:eastAsia="zh-CN"/>
        </w:rPr>
        <w:t>。</w:t>
      </w:r>
    </w:p>
    <w:p>
      <w:pPr>
        <w:pageBreakBefore w:val="0"/>
        <w:kinsoku/>
        <w:wordWrap/>
        <w:overflowPunct/>
        <w:topLinePunct w:val="0"/>
        <w:bidi w:val="0"/>
        <w:snapToGrid/>
        <w:spacing w:line="360" w:lineRule="auto"/>
        <w:ind w:firstLine="640" w:firstLineChars="200"/>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val="en-US" w:eastAsia="zh-CN"/>
        </w:rPr>
        <w:t>重大线性市政交通工程应当编制实施详细规划，并报市资源规划主管部门审查，作为建设工程规划许可审批的前置条件。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rPr>
      </w:pPr>
      <w:bookmarkStart w:id="115" w:name="_Toc341256497"/>
      <w:bookmarkStart w:id="116" w:name="_Toc504650176"/>
      <w:bookmarkStart w:id="117" w:name="_Toc539423014"/>
      <w:bookmarkStart w:id="118" w:name="_Toc1088980181"/>
      <w:bookmarkStart w:id="119" w:name="_Toc652996128"/>
      <w:bookmarkStart w:id="120" w:name="_Toc544563477"/>
      <w:r>
        <w:rPr>
          <w:rFonts w:hint="eastAsia" w:ascii="仿宋_GB2312" w:hAnsi="仿宋_GB2312" w:eastAsia="仿宋_GB2312" w:cs="仿宋_GB2312"/>
          <w:color w:val="auto"/>
          <w:lang w:eastAsia="zh-CN"/>
        </w:rPr>
        <w:t>第十四条</w:t>
      </w:r>
      <w:r>
        <w:rPr>
          <w:rFonts w:hint="eastAsia" w:ascii="仿宋_GB2312" w:hAnsi="仿宋_GB2312" w:eastAsia="仿宋_GB2312" w:cs="仿宋_GB2312"/>
          <w:color w:val="auto"/>
        </w:rPr>
        <w:t>【详细规划修改】</w:t>
      </w:r>
      <w:bookmarkEnd w:id="115"/>
      <w:bookmarkEnd w:id="116"/>
      <w:bookmarkEnd w:id="117"/>
      <w:bookmarkEnd w:id="118"/>
      <w:bookmarkEnd w:id="119"/>
      <w:bookmarkEnd w:id="120"/>
      <w:r>
        <w:rPr>
          <w:rFonts w:hint="eastAsia" w:ascii="仿宋_GB2312" w:eastAsia="仿宋_GB2312" w:cs="仿宋_GB2312"/>
          <w:b w:val="0"/>
          <w:bCs/>
          <w:color w:val="auto"/>
          <w:sz w:val="32"/>
          <w:szCs w:val="32"/>
        </w:rPr>
        <w:t>因上位规划实施、城市发展条件变化等确需对详细规划进行修改的，由组织编制机关编制修改方案，按照规划编制审批程序报批。详细规划</w:t>
      </w:r>
      <w:r>
        <w:rPr>
          <w:rFonts w:ascii="仿宋_GB2312" w:eastAsia="仿宋_GB2312" w:cs="仿宋_GB2312"/>
          <w:b w:val="0"/>
          <w:bCs/>
          <w:color w:val="auto"/>
          <w:sz w:val="32"/>
          <w:szCs w:val="32"/>
        </w:rPr>
        <w:t>修改</w:t>
      </w:r>
      <w:r>
        <w:rPr>
          <w:rFonts w:hint="eastAsia" w:ascii="仿宋_GB2312" w:eastAsia="仿宋_GB2312" w:cs="仿宋_GB2312"/>
          <w:b w:val="0"/>
          <w:bCs/>
          <w:color w:val="auto"/>
          <w:sz w:val="32"/>
          <w:szCs w:val="32"/>
        </w:rPr>
        <w:t>不得违反国土空间总体规划的约束性指标和刚性管控要求。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Times New Roman" w:eastAsia="仿宋_GB2312" w:cs="仿宋_GB2312"/>
          <w:color w:val="auto"/>
          <w:sz w:val="32"/>
          <w:szCs w:val="32"/>
        </w:rPr>
      </w:pPr>
      <w:bookmarkStart w:id="121" w:name="_Toc687247435"/>
      <w:bookmarkStart w:id="122" w:name="_Toc215047527"/>
      <w:bookmarkStart w:id="123" w:name="_Toc957791625"/>
      <w:bookmarkStart w:id="124" w:name="_Toc2009187959"/>
      <w:bookmarkStart w:id="125" w:name="_Toc1659597992"/>
      <w:bookmarkStart w:id="126" w:name="_Toc343775664"/>
      <w:r>
        <w:rPr>
          <w:rFonts w:hint="eastAsia" w:ascii="仿宋_GB2312" w:hAnsi="仿宋_GB2312" w:eastAsia="仿宋_GB2312" w:cs="仿宋_GB2312"/>
          <w:color w:val="auto"/>
          <w:lang w:eastAsia="zh-CN"/>
        </w:rPr>
        <w:t>第十五条</w:t>
      </w:r>
      <w:r>
        <w:rPr>
          <w:rFonts w:hint="eastAsia" w:ascii="仿宋_GB2312" w:hAnsi="仿宋_GB2312" w:eastAsia="仿宋_GB2312" w:cs="仿宋_GB2312"/>
          <w:color w:val="auto"/>
        </w:rPr>
        <w:t>【</w:t>
      </w:r>
      <w:r>
        <w:rPr>
          <w:rFonts w:ascii="仿宋_GB2312" w:hAnsi="仿宋_GB2312" w:eastAsia="仿宋_GB2312" w:cs="仿宋_GB2312"/>
          <w:color w:val="auto"/>
        </w:rPr>
        <w:t>专项规划</w:t>
      </w:r>
      <w:r>
        <w:rPr>
          <w:rFonts w:hint="eastAsia" w:ascii="仿宋_GB2312" w:hAnsi="仿宋_GB2312" w:eastAsia="仿宋_GB2312" w:cs="仿宋_GB2312"/>
          <w:color w:val="auto"/>
        </w:rPr>
        <w:t>编审】</w:t>
      </w:r>
      <w:bookmarkEnd w:id="121"/>
      <w:bookmarkEnd w:id="122"/>
      <w:bookmarkEnd w:id="123"/>
      <w:bookmarkEnd w:id="124"/>
      <w:bookmarkEnd w:id="125"/>
      <w:bookmarkEnd w:id="126"/>
      <w:r>
        <w:rPr>
          <w:rFonts w:hint="eastAsia" w:ascii="仿宋_GB2312" w:hAnsi="Times New Roman" w:eastAsia="仿宋_GB2312" w:cs="仿宋_GB2312"/>
          <w:b w:val="0"/>
          <w:bCs/>
          <w:color w:val="auto"/>
          <w:sz w:val="32"/>
          <w:szCs w:val="32"/>
        </w:rPr>
        <w:t>专项规划包括市</w:t>
      </w:r>
      <w:r>
        <w:rPr>
          <w:rFonts w:hint="eastAsia" w:ascii="仿宋_GB2312" w:hAnsi="Times New Roman" w:eastAsia="仿宋_GB2312" w:cs="仿宋_GB2312"/>
          <w:b w:val="0"/>
          <w:bCs/>
          <w:color w:val="auto"/>
          <w:sz w:val="32"/>
          <w:szCs w:val="32"/>
          <w:lang w:val="en-US" w:eastAsia="zh-CN"/>
        </w:rPr>
        <w:t>级专项规划</w:t>
      </w:r>
      <w:r>
        <w:rPr>
          <w:rFonts w:hint="eastAsia" w:ascii="仿宋_GB2312" w:hAnsi="Times New Roman" w:eastAsia="仿宋_GB2312" w:cs="仿宋_GB2312"/>
          <w:b w:val="0"/>
          <w:bCs/>
          <w:color w:val="auto"/>
          <w:sz w:val="32"/>
          <w:szCs w:val="32"/>
        </w:rPr>
        <w:t>、</w:t>
      </w:r>
      <w:r>
        <w:rPr>
          <w:rFonts w:hint="eastAsia" w:ascii="仿宋_GB2312" w:hAnsi="Times New Roman" w:eastAsia="仿宋_GB2312" w:cs="仿宋_GB2312"/>
          <w:b w:val="0"/>
          <w:bCs/>
          <w:color w:val="auto"/>
          <w:sz w:val="32"/>
          <w:szCs w:val="32"/>
          <w:lang w:val="en-US" w:eastAsia="zh-CN"/>
        </w:rPr>
        <w:t>区级专项规划</w:t>
      </w:r>
      <w:r>
        <w:rPr>
          <w:rFonts w:hint="eastAsia" w:ascii="仿宋_GB2312" w:hAnsi="Times New Roman" w:eastAsia="仿宋_GB2312" w:cs="仿宋_GB2312"/>
          <w:b w:val="0"/>
          <w:bCs/>
          <w:color w:val="auto"/>
          <w:sz w:val="32"/>
          <w:szCs w:val="32"/>
          <w:lang w:eastAsia="zh-CN"/>
        </w:rPr>
        <w:t>。</w:t>
      </w:r>
      <w:r>
        <w:rPr>
          <w:rFonts w:hint="eastAsia" w:ascii="仿宋_GB2312" w:hAnsi="Times New Roman" w:eastAsia="仿宋_GB2312" w:cs="仿宋_GB2312"/>
          <w:b w:val="0"/>
          <w:bCs/>
          <w:color w:val="auto"/>
          <w:sz w:val="32"/>
          <w:szCs w:val="32"/>
        </w:rPr>
        <w:t>专项规划的编制与审批应当按照下列规定办理：</w:t>
      </w:r>
    </w:p>
    <w:p>
      <w:pPr>
        <w:pageBreakBefore w:val="0"/>
        <w:kinsoku/>
        <w:wordWrap/>
        <w:overflowPunct/>
        <w:topLinePunct w:val="0"/>
        <w:bidi w:val="0"/>
        <w:snapToGrid/>
        <w:spacing w:line="360" w:lineRule="auto"/>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（一）专项</w:t>
      </w:r>
      <w:r>
        <w:rPr>
          <w:rFonts w:ascii="仿宋_GB2312" w:hAnsi="Times New Roman" w:eastAsia="仿宋_GB2312" w:cs="仿宋_GB2312"/>
          <w:color w:val="auto"/>
          <w:sz w:val="32"/>
          <w:szCs w:val="32"/>
        </w:rPr>
        <w:t>规划由</w:t>
      </w:r>
      <w:r>
        <w:rPr>
          <w:rFonts w:hint="eastAsia" w:ascii="仿宋_GB2312" w:hAnsi="Times New Roman" w:eastAsia="仿宋_GB2312" w:cs="仿宋_GB2312"/>
          <w:color w:val="auto"/>
          <w:sz w:val="32"/>
          <w:szCs w:val="32"/>
        </w:rPr>
        <w:t>行业主管</w:t>
      </w:r>
      <w:r>
        <w:rPr>
          <w:rFonts w:ascii="仿宋_GB2312" w:hAnsi="Times New Roman" w:eastAsia="仿宋_GB2312" w:cs="仿宋_GB2312"/>
          <w:color w:val="auto"/>
          <w:sz w:val="32"/>
          <w:szCs w:val="32"/>
        </w:rPr>
        <w:t>部门</w:t>
      </w:r>
      <w:r>
        <w:rPr>
          <w:rFonts w:hint="eastAsia" w:ascii="仿宋_GB2312" w:hAnsi="Times New Roman" w:eastAsia="仿宋_GB2312" w:cs="仿宋_GB2312"/>
          <w:color w:val="auto"/>
          <w:sz w:val="32"/>
          <w:szCs w:val="32"/>
        </w:rPr>
        <w:t>牵头</w:t>
      </w:r>
      <w:r>
        <w:rPr>
          <w:rFonts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rPr>
        <w:t>会同市资源规划主管部门组织编制，报市人民政府审批。其他法律法规有规定的，按相关法律法规执行。</w:t>
      </w:r>
      <w:r>
        <w:rPr>
          <w:rFonts w:ascii="仿宋_GB2312" w:hAnsi="Times New Roman" w:eastAsia="仿宋_GB2312" w:cs="仿宋_GB2312"/>
          <w:color w:val="auto"/>
          <w:sz w:val="32"/>
          <w:szCs w:val="32"/>
        </w:rPr>
        <w:t>内容相近</w:t>
      </w:r>
      <w:r>
        <w:rPr>
          <w:rFonts w:hint="eastAsia" w:ascii="仿宋_GB2312" w:hAnsi="Times New Roman" w:eastAsia="仿宋_GB2312" w:cs="仿宋_GB2312"/>
          <w:color w:val="auto"/>
          <w:sz w:val="32"/>
          <w:szCs w:val="32"/>
          <w:lang w:val="en-US" w:eastAsia="zh-CN"/>
        </w:rPr>
        <w:t>的专项规划</w:t>
      </w:r>
      <w:r>
        <w:rPr>
          <w:rFonts w:ascii="仿宋_GB2312" w:hAnsi="Times New Roman" w:eastAsia="仿宋_GB2312" w:cs="仿宋_GB2312"/>
          <w:color w:val="auto"/>
          <w:sz w:val="32"/>
          <w:szCs w:val="32"/>
        </w:rPr>
        <w:t>可合并编制</w:t>
      </w:r>
      <w:r>
        <w:rPr>
          <w:rFonts w:hint="eastAsia" w:ascii="仿宋_GB2312" w:hAnsi="Times New Roman" w:eastAsia="仿宋_GB2312" w:cs="仿宋_GB2312"/>
          <w:color w:val="auto"/>
          <w:sz w:val="32"/>
          <w:szCs w:val="32"/>
        </w:rPr>
        <w:t>。</w:t>
      </w:r>
    </w:p>
    <w:p>
      <w:pPr>
        <w:pageBreakBefore w:val="0"/>
        <w:kinsoku/>
        <w:wordWrap/>
        <w:overflowPunct/>
        <w:topLinePunct w:val="0"/>
        <w:bidi w:val="0"/>
        <w:snapToGrid/>
        <w:spacing w:line="360" w:lineRule="auto"/>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（二）</w:t>
      </w:r>
      <w:r>
        <w:rPr>
          <w:rFonts w:hint="eastAsia" w:ascii="仿宋_GB2312" w:hAnsi="Times New Roman" w:eastAsia="仿宋_GB2312" w:cs="仿宋_GB2312"/>
          <w:color w:val="auto"/>
          <w:sz w:val="32"/>
          <w:szCs w:val="32"/>
          <w:lang w:eastAsia="zh-CN"/>
        </w:rPr>
        <w:t>法律法规</w:t>
      </w:r>
      <w:r>
        <w:rPr>
          <w:rFonts w:ascii="仿宋_GB2312" w:hAnsi="Times New Roman" w:eastAsia="仿宋_GB2312" w:cs="仿宋_GB2312"/>
          <w:color w:val="auto"/>
          <w:sz w:val="32"/>
          <w:szCs w:val="32"/>
        </w:rPr>
        <w:t>规定由</w:t>
      </w:r>
      <w:r>
        <w:rPr>
          <w:rFonts w:hint="eastAsia" w:ascii="仿宋_GB2312" w:hAnsi="Times New Roman" w:eastAsia="仿宋_GB2312" w:cs="仿宋_GB2312"/>
          <w:color w:val="auto"/>
          <w:sz w:val="32"/>
          <w:szCs w:val="32"/>
        </w:rPr>
        <w:t>行业主管</w:t>
      </w:r>
      <w:r>
        <w:rPr>
          <w:rFonts w:ascii="仿宋_GB2312" w:hAnsi="Times New Roman" w:eastAsia="仿宋_GB2312" w:cs="仿宋_GB2312"/>
          <w:color w:val="auto"/>
          <w:sz w:val="32"/>
          <w:szCs w:val="32"/>
        </w:rPr>
        <w:t>部门单独组织编制的</w:t>
      </w:r>
      <w:r>
        <w:rPr>
          <w:rFonts w:hint="eastAsia" w:ascii="仿宋_GB2312" w:hAnsi="Times New Roman" w:eastAsia="仿宋_GB2312" w:cs="仿宋_GB2312"/>
          <w:color w:val="auto"/>
          <w:sz w:val="32"/>
          <w:szCs w:val="32"/>
          <w:lang w:val="en-US" w:eastAsia="zh-CN"/>
        </w:rPr>
        <w:t>行业</w:t>
      </w:r>
      <w:r>
        <w:rPr>
          <w:rFonts w:ascii="仿宋_GB2312" w:hAnsi="Times New Roman" w:eastAsia="仿宋_GB2312" w:cs="仿宋_GB2312"/>
          <w:color w:val="auto"/>
          <w:sz w:val="32"/>
          <w:szCs w:val="32"/>
        </w:rPr>
        <w:t>规划，</w:t>
      </w:r>
      <w:r>
        <w:rPr>
          <w:rFonts w:hint="eastAsia" w:ascii="仿宋_GB2312" w:hAnsi="Times New Roman" w:eastAsia="仿宋_GB2312" w:cs="仿宋_GB2312"/>
          <w:color w:val="auto"/>
          <w:sz w:val="32"/>
          <w:szCs w:val="32"/>
          <w:lang w:val="en-US" w:eastAsia="zh-CN"/>
        </w:rPr>
        <w:t>涉及国土空间规划的，</w:t>
      </w:r>
      <w:r>
        <w:rPr>
          <w:rFonts w:hint="eastAsia" w:ascii="仿宋_GB2312" w:hAnsi="Times New Roman" w:eastAsia="仿宋_GB2312" w:cs="仿宋_GB2312"/>
          <w:color w:val="auto"/>
          <w:sz w:val="32"/>
          <w:szCs w:val="32"/>
        </w:rPr>
        <w:t>报批前</w:t>
      </w:r>
      <w:r>
        <w:rPr>
          <w:rFonts w:ascii="仿宋_GB2312" w:hAnsi="Times New Roman" w:eastAsia="仿宋_GB2312" w:cs="仿宋_GB2312"/>
          <w:color w:val="auto"/>
          <w:sz w:val="32"/>
          <w:szCs w:val="32"/>
        </w:rPr>
        <w:t>应当征求市资源规划主管部门的意见</w:t>
      </w:r>
      <w:r>
        <w:rPr>
          <w:rFonts w:hint="eastAsia" w:ascii="仿宋_GB2312" w:hAnsi="Times New Roman" w:eastAsia="仿宋_GB2312" w:cs="仿宋_GB2312"/>
          <w:color w:val="auto"/>
          <w:sz w:val="32"/>
          <w:szCs w:val="32"/>
        </w:rPr>
        <w:t>，</w:t>
      </w:r>
      <w:r>
        <w:rPr>
          <w:rFonts w:ascii="仿宋_GB2312" w:hAnsi="Times New Roman" w:eastAsia="仿宋_GB2312" w:cs="仿宋_GB2312"/>
          <w:color w:val="auto"/>
          <w:sz w:val="32"/>
          <w:szCs w:val="32"/>
        </w:rPr>
        <w:t>由</w:t>
      </w:r>
      <w:r>
        <w:rPr>
          <w:rFonts w:hint="eastAsia" w:ascii="仿宋_GB2312" w:hAnsi="Times New Roman" w:eastAsia="仿宋_GB2312" w:cs="仿宋_GB2312"/>
          <w:color w:val="auto"/>
          <w:sz w:val="32"/>
          <w:szCs w:val="32"/>
          <w:lang w:eastAsia="zh-CN"/>
        </w:rPr>
        <w:t>法律法规</w:t>
      </w:r>
      <w:r>
        <w:rPr>
          <w:rFonts w:ascii="仿宋_GB2312" w:hAnsi="Times New Roman" w:eastAsia="仿宋_GB2312" w:cs="仿宋_GB2312"/>
          <w:color w:val="auto"/>
          <w:sz w:val="32"/>
          <w:szCs w:val="32"/>
        </w:rPr>
        <w:t>规定</w:t>
      </w:r>
      <w:r>
        <w:rPr>
          <w:rFonts w:hint="eastAsia" w:ascii="仿宋_GB2312" w:hAnsi="Times New Roman" w:eastAsia="仿宋_GB2312" w:cs="仿宋_GB2312"/>
          <w:color w:val="auto"/>
          <w:sz w:val="32"/>
          <w:szCs w:val="32"/>
        </w:rPr>
        <w:t>的</w:t>
      </w:r>
      <w:r>
        <w:rPr>
          <w:rFonts w:ascii="仿宋_GB2312" w:hAnsi="Times New Roman" w:eastAsia="仿宋_GB2312" w:cs="仿宋_GB2312"/>
          <w:color w:val="auto"/>
          <w:sz w:val="32"/>
          <w:szCs w:val="32"/>
        </w:rPr>
        <w:t>审批机关</w:t>
      </w:r>
      <w:r>
        <w:rPr>
          <w:rFonts w:hint="eastAsia" w:ascii="仿宋_GB2312" w:hAnsi="Times New Roman" w:eastAsia="仿宋_GB2312" w:cs="仿宋_GB2312"/>
          <w:color w:val="auto"/>
          <w:sz w:val="32"/>
          <w:szCs w:val="32"/>
        </w:rPr>
        <w:t>审批。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Times New Roman" w:eastAsia="仿宋_GB2312" w:cs="仿宋_GB2312"/>
          <w:color w:val="auto"/>
          <w:sz w:val="32"/>
          <w:szCs w:val="32"/>
        </w:rPr>
      </w:pPr>
      <w:bookmarkStart w:id="127" w:name="_Toc1523740809"/>
      <w:bookmarkStart w:id="128" w:name="_Toc909036177"/>
      <w:bookmarkStart w:id="129" w:name="_Toc330094743"/>
      <w:bookmarkStart w:id="130" w:name="_Toc155894676"/>
      <w:bookmarkStart w:id="131" w:name="_Toc872180156"/>
      <w:bookmarkStart w:id="132" w:name="_Toc1373377808"/>
      <w:r>
        <w:rPr>
          <w:rFonts w:hint="eastAsia" w:ascii="仿宋_GB2312" w:hAnsi="仿宋_GB2312" w:eastAsia="仿宋_GB2312" w:cs="仿宋_GB2312"/>
          <w:color w:val="auto"/>
          <w:lang w:eastAsia="zh-CN"/>
        </w:rPr>
        <w:t>第十六条</w:t>
      </w:r>
      <w:r>
        <w:rPr>
          <w:rFonts w:hint="eastAsia" w:ascii="仿宋_GB2312" w:hAnsi="仿宋_GB2312" w:eastAsia="仿宋_GB2312" w:cs="仿宋_GB2312"/>
          <w:color w:val="auto"/>
        </w:rPr>
        <w:t>【</w:t>
      </w:r>
      <w:r>
        <w:rPr>
          <w:rFonts w:ascii="仿宋_GB2312" w:hAnsi="仿宋_GB2312" w:eastAsia="仿宋_GB2312" w:cs="仿宋_GB2312"/>
          <w:color w:val="auto"/>
        </w:rPr>
        <w:t>专项规划清单</w:t>
      </w:r>
      <w:r>
        <w:rPr>
          <w:rFonts w:hint="eastAsia" w:ascii="仿宋_GB2312" w:hAnsi="仿宋_GB2312" w:eastAsia="仿宋_GB2312" w:cs="仿宋_GB2312"/>
          <w:color w:val="auto"/>
        </w:rPr>
        <w:t>管理机制】</w:t>
      </w:r>
      <w:bookmarkEnd w:id="127"/>
      <w:bookmarkEnd w:id="128"/>
      <w:bookmarkEnd w:id="129"/>
      <w:bookmarkEnd w:id="130"/>
      <w:bookmarkEnd w:id="131"/>
      <w:bookmarkEnd w:id="132"/>
      <w:r>
        <w:rPr>
          <w:rFonts w:hint="eastAsia" w:ascii="仿宋_GB2312" w:hAnsi="Times New Roman" w:eastAsia="仿宋_GB2312" w:cs="仿宋_GB2312"/>
          <w:b w:val="0"/>
          <w:bCs/>
          <w:color w:val="auto"/>
          <w:sz w:val="32"/>
          <w:szCs w:val="32"/>
        </w:rPr>
        <w:t>专项</w:t>
      </w:r>
      <w:r>
        <w:rPr>
          <w:rFonts w:hint="eastAsia" w:ascii="仿宋_GB2312" w:hAnsi="Times New Roman" w:eastAsia="仿宋_GB2312" w:cs="仿宋_GB2312"/>
          <w:b w:val="0"/>
          <w:bCs/>
          <w:color w:val="auto"/>
          <w:sz w:val="32"/>
          <w:szCs w:val="32"/>
          <w:lang w:val="en-US" w:eastAsia="zh-CN"/>
        </w:rPr>
        <w:t>规划</w:t>
      </w:r>
      <w:r>
        <w:rPr>
          <w:rFonts w:hint="eastAsia" w:ascii="仿宋_GB2312" w:hAnsi="Times New Roman" w:eastAsia="仿宋_GB2312" w:cs="仿宋_GB2312"/>
          <w:b w:val="0"/>
          <w:bCs/>
          <w:color w:val="auto"/>
          <w:sz w:val="32"/>
          <w:szCs w:val="32"/>
        </w:rPr>
        <w:t>实行目录清单</w:t>
      </w:r>
      <w:r>
        <w:rPr>
          <w:rFonts w:hint="eastAsia" w:ascii="仿宋_GB2312" w:hAnsi="Times New Roman" w:eastAsia="仿宋_GB2312" w:cs="仿宋_GB2312"/>
          <w:b w:val="0"/>
          <w:bCs/>
          <w:color w:val="auto"/>
          <w:sz w:val="32"/>
          <w:szCs w:val="32"/>
          <w:lang w:val="en-US" w:eastAsia="zh-CN"/>
        </w:rPr>
        <w:t>动态</w:t>
      </w:r>
      <w:r>
        <w:rPr>
          <w:rFonts w:hint="eastAsia" w:ascii="仿宋_GB2312" w:hAnsi="Times New Roman" w:eastAsia="仿宋_GB2312" w:cs="仿宋_GB2312"/>
          <w:b w:val="0"/>
          <w:bCs/>
          <w:color w:val="auto"/>
          <w:sz w:val="32"/>
          <w:szCs w:val="32"/>
        </w:rPr>
        <w:t>管理制度，未列入目录清单的特定领域规划，原则上不得按专项规划编制或批准实施。</w:t>
      </w:r>
    </w:p>
    <w:p>
      <w:pPr>
        <w:pageBreakBefore w:val="0"/>
        <w:kinsoku/>
        <w:wordWrap/>
        <w:overflowPunct/>
        <w:topLinePunct w:val="0"/>
        <w:bidi w:val="0"/>
        <w:snapToGrid/>
        <w:spacing w:line="360" w:lineRule="auto"/>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市资源规划</w:t>
      </w:r>
      <w:r>
        <w:rPr>
          <w:rFonts w:hint="eastAsia" w:ascii="仿宋_GB2312" w:hAnsi="Times New Roman" w:eastAsia="仿宋_GB2312" w:cs="仿宋_GB2312"/>
          <w:color w:val="auto"/>
          <w:sz w:val="32"/>
          <w:szCs w:val="32"/>
          <w:lang w:eastAsia="zh-CN"/>
        </w:rPr>
        <w:t>主管</w:t>
      </w:r>
      <w:r>
        <w:rPr>
          <w:rFonts w:hint="eastAsia" w:ascii="仿宋_GB2312" w:hAnsi="Times New Roman" w:eastAsia="仿宋_GB2312" w:cs="仿宋_GB2312"/>
          <w:color w:val="auto"/>
          <w:sz w:val="32"/>
          <w:szCs w:val="32"/>
        </w:rPr>
        <w:t>部门会同有关行业主管部门制定专项规划目录清单，报市人民政府批准实施。</w:t>
      </w:r>
      <w:r>
        <w:rPr>
          <w:rFonts w:ascii="仿宋_GB2312" w:hAnsi="Times New Roman" w:eastAsia="仿宋_GB2312" w:cs="仿宋_GB2312"/>
          <w:color w:val="auto"/>
          <w:sz w:val="32"/>
          <w:szCs w:val="32"/>
        </w:rPr>
        <w:t>有关</w:t>
      </w:r>
      <w:r>
        <w:rPr>
          <w:rFonts w:hint="eastAsia" w:ascii="仿宋_GB2312" w:hAnsi="Times New Roman" w:eastAsia="仿宋_GB2312" w:cs="仿宋_GB2312"/>
          <w:color w:val="auto"/>
          <w:sz w:val="32"/>
          <w:szCs w:val="32"/>
        </w:rPr>
        <w:t>行业主管部门可以根据需要提出专项规划增补申请，报市人民政府审定后列入目录清单。</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lang w:eastAsia="zh-CN"/>
        </w:rPr>
      </w:pPr>
      <w:bookmarkStart w:id="133" w:name="_Toc1676970614"/>
      <w:bookmarkStart w:id="134" w:name="_Toc345429086"/>
      <w:bookmarkStart w:id="135" w:name="_Toc447621307"/>
      <w:bookmarkStart w:id="136" w:name="_Toc1593804467"/>
      <w:bookmarkStart w:id="137" w:name="_Toc1323156434"/>
      <w:bookmarkStart w:id="138" w:name="_Toc1873085925"/>
      <w:r>
        <w:rPr>
          <w:rFonts w:hint="eastAsia" w:ascii="仿宋_GB2312" w:hAnsi="仿宋_GB2312" w:eastAsia="仿宋_GB2312" w:cs="仿宋_GB2312"/>
          <w:color w:val="auto"/>
          <w:lang w:eastAsia="zh-CN"/>
        </w:rPr>
        <w:t>第十七条</w:t>
      </w:r>
      <w:r>
        <w:rPr>
          <w:rFonts w:hint="eastAsia" w:ascii="仿宋_GB2312" w:hAnsi="仿宋_GB2312" w:eastAsia="仿宋_GB2312" w:cs="仿宋_GB2312"/>
          <w:color w:val="auto"/>
        </w:rPr>
        <w:t>【专项规划修改】</w:t>
      </w:r>
      <w:bookmarkEnd w:id="133"/>
      <w:bookmarkEnd w:id="134"/>
      <w:bookmarkEnd w:id="135"/>
      <w:bookmarkEnd w:id="136"/>
      <w:bookmarkEnd w:id="137"/>
      <w:bookmarkEnd w:id="138"/>
      <w:r>
        <w:rPr>
          <w:rFonts w:hint="eastAsia" w:ascii="仿宋_GB2312" w:eastAsia="仿宋_GB2312" w:cs="仿宋_GB2312"/>
          <w:b w:val="0"/>
          <w:bCs/>
          <w:color w:val="auto"/>
          <w:sz w:val="32"/>
          <w:szCs w:val="32"/>
          <w:lang w:eastAsia="zh-CN"/>
        </w:rPr>
        <w:t>因上位规划调整、重大建设项目实施或者通过规划评估确需对专项规划进行修改的，由组织编制机关编制修改方案，按照规划编制审批程序报批。专项规划修改不得违反国土空间总体规划的约束性指标和刚性管控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eastAsia="仿宋_GB2312" w:cs="仿宋_GB2312"/>
          <w:color w:val="auto"/>
          <w:sz w:val="32"/>
          <w:szCs w:val="32"/>
        </w:rPr>
      </w:pPr>
      <w:bookmarkStart w:id="139" w:name="_Toc536951849"/>
      <w:bookmarkStart w:id="140" w:name="_Toc1999107760"/>
      <w:bookmarkStart w:id="141" w:name="_Toc1615658756"/>
      <w:bookmarkStart w:id="142" w:name="_Toc620393046"/>
      <w:bookmarkStart w:id="143" w:name="_Toc1122535971"/>
      <w:bookmarkStart w:id="144" w:name="_Toc1259379015"/>
      <w:r>
        <w:rPr>
          <w:rFonts w:hint="eastAsia" w:ascii="仿宋_GB2312" w:hAnsi="仿宋_GB2312" w:eastAsia="仿宋_GB2312" w:cs="仿宋_GB2312"/>
          <w:color w:val="auto"/>
          <w:lang w:eastAsia="zh-CN"/>
        </w:rPr>
        <w:t>第十八条</w:t>
      </w:r>
      <w:r>
        <w:rPr>
          <w:rFonts w:hint="eastAsia" w:ascii="仿宋_GB2312" w:hAnsi="仿宋_GB2312" w:eastAsia="仿宋_GB2312" w:cs="仿宋_GB2312"/>
          <w:color w:val="auto"/>
        </w:rPr>
        <w:t>【国土空间设计】</w:t>
      </w:r>
      <w:bookmarkEnd w:id="139"/>
      <w:bookmarkEnd w:id="140"/>
      <w:bookmarkEnd w:id="141"/>
      <w:bookmarkEnd w:id="142"/>
      <w:bookmarkEnd w:id="143"/>
      <w:bookmarkEnd w:id="144"/>
      <w:bookmarkStart w:id="145" w:name="OLE_LINK3"/>
      <w:r>
        <w:rPr>
          <w:rFonts w:hint="eastAsia" w:ascii="仿宋_GB2312" w:eastAsia="仿宋_GB2312" w:cs="仿宋_GB2312"/>
          <w:b w:val="0"/>
          <w:bCs/>
          <w:color w:val="auto"/>
          <w:sz w:val="32"/>
          <w:szCs w:val="32"/>
        </w:rPr>
        <w:t>各级人民政府</w:t>
      </w:r>
      <w:r>
        <w:rPr>
          <w:rFonts w:hint="eastAsia" w:ascii="仿宋_GB2312" w:eastAsia="仿宋_GB2312" w:cs="仿宋_GB2312"/>
          <w:b w:val="0"/>
          <w:bCs/>
          <w:color w:val="auto"/>
          <w:sz w:val="32"/>
          <w:szCs w:val="32"/>
          <w:lang w:eastAsia="zh-CN"/>
        </w:rPr>
        <w:t>可以</w:t>
      </w:r>
      <w:r>
        <w:rPr>
          <w:rFonts w:hint="eastAsia" w:ascii="仿宋_GB2312" w:eastAsia="仿宋_GB2312" w:cs="仿宋_GB2312"/>
          <w:b w:val="0"/>
          <w:bCs/>
          <w:color w:val="auto"/>
          <w:sz w:val="32"/>
          <w:szCs w:val="32"/>
        </w:rPr>
        <w:t>通过编制和实施国土空间设计，优化城乡风貌格局、空间品质、改善人居环境。国土空间设计</w:t>
      </w:r>
      <w:bookmarkEnd w:id="145"/>
      <w:bookmarkStart w:id="146" w:name="OLE_LINK1"/>
      <w:r>
        <w:rPr>
          <w:rFonts w:hint="eastAsia" w:ascii="仿宋_GB2312" w:eastAsia="仿宋_GB2312" w:cs="仿宋_GB2312"/>
          <w:b w:val="0"/>
          <w:bCs/>
          <w:color w:val="auto"/>
          <w:sz w:val="32"/>
          <w:szCs w:val="32"/>
          <w:lang w:eastAsia="zh-CN"/>
        </w:rPr>
        <w:t>包括</w:t>
      </w:r>
      <w:r>
        <w:rPr>
          <w:rFonts w:hint="eastAsia" w:ascii="仿宋_GB2312" w:eastAsia="仿宋_GB2312" w:cs="仿宋_GB2312"/>
          <w:b w:val="0"/>
          <w:bCs/>
          <w:color w:val="auto"/>
          <w:sz w:val="32"/>
          <w:szCs w:val="32"/>
        </w:rPr>
        <w:t>国土空间</w:t>
      </w:r>
      <w:bookmarkEnd w:id="146"/>
      <w:r>
        <w:rPr>
          <w:rFonts w:hint="eastAsia" w:ascii="仿宋_GB2312" w:eastAsia="仿宋_GB2312" w:cs="仿宋_GB2312"/>
          <w:b w:val="0"/>
          <w:bCs/>
          <w:color w:val="auto"/>
          <w:sz w:val="32"/>
          <w:szCs w:val="32"/>
        </w:rPr>
        <w:t>总体设计、</w:t>
      </w:r>
      <w:bookmarkStart w:id="147" w:name="OLE_LINK5"/>
      <w:r>
        <w:rPr>
          <w:rFonts w:hint="eastAsia" w:ascii="仿宋_GB2312" w:eastAsia="仿宋_GB2312" w:cs="仿宋_GB2312"/>
          <w:b w:val="0"/>
          <w:bCs/>
          <w:color w:val="auto"/>
          <w:sz w:val="32"/>
          <w:szCs w:val="32"/>
        </w:rPr>
        <w:t>详细设计</w:t>
      </w:r>
      <w:bookmarkEnd w:id="147"/>
      <w:r>
        <w:rPr>
          <w:rFonts w:hint="eastAsia" w:ascii="仿宋_GB2312" w:eastAsia="仿宋_GB2312" w:cs="仿宋_GB2312"/>
          <w:b w:val="0"/>
          <w:bCs/>
          <w:color w:val="auto"/>
          <w:sz w:val="32"/>
          <w:szCs w:val="32"/>
        </w:rPr>
        <w:t>、专项设计。其主要管控要求应当纳入相应层级的国土空间规划。</w:t>
      </w:r>
    </w:p>
    <w:p>
      <w:pPr>
        <w:pageBreakBefore w:val="0"/>
        <w:kinsoku/>
        <w:wordWrap/>
        <w:overflowPunct/>
        <w:topLinePunct w:val="0"/>
        <w:bidi w:val="0"/>
        <w:snapToGrid/>
        <w:spacing w:line="360" w:lineRule="auto"/>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国土空间总体设计是以全域国土空间为对象，衔接国土空间总体规划的战略目标与管控要求、指导详细规划编制和项目实施的空间统筹设计。</w:t>
      </w:r>
    </w:p>
    <w:p>
      <w:pPr>
        <w:pageBreakBefore w:val="0"/>
        <w:kinsoku/>
        <w:wordWrap/>
        <w:overflowPunct/>
        <w:topLinePunct w:val="0"/>
        <w:bidi w:val="0"/>
        <w:snapToGrid/>
        <w:spacing w:line="360" w:lineRule="auto"/>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国土空间详细设计是在国土空间总体规划及总体设计的指导约束下，针对具体国土空间单元开展的精细化空间设计与实施指引，</w:t>
      </w:r>
      <w:bookmarkStart w:id="148" w:name="OLE_LINK6"/>
      <w:r>
        <w:rPr>
          <w:rFonts w:hint="eastAsia" w:ascii="仿宋_GB2312" w:eastAsia="仿宋_GB2312" w:cs="仿宋_GB2312"/>
          <w:color w:val="auto"/>
          <w:sz w:val="32"/>
          <w:szCs w:val="32"/>
          <w:lang w:eastAsia="zh-CN"/>
        </w:rPr>
        <w:t>包括</w:t>
      </w:r>
      <w:r>
        <w:rPr>
          <w:rFonts w:hint="eastAsia" w:ascii="仿宋_GB2312" w:eastAsia="仿宋_GB2312" w:cs="仿宋_GB2312"/>
          <w:color w:val="auto"/>
          <w:sz w:val="32"/>
          <w:szCs w:val="32"/>
        </w:rPr>
        <w:t>重点片区城市设计、一般片区城市设计、街区（地块）城市设计和乡村设计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重点片区应</w:t>
      </w:r>
      <w:r>
        <w:rPr>
          <w:rFonts w:hint="eastAsia" w:ascii="仿宋_GB2312" w:eastAsia="仿宋_GB2312" w:cs="仿宋_GB2312"/>
          <w:color w:val="auto"/>
          <w:sz w:val="32"/>
          <w:szCs w:val="32"/>
          <w:lang w:eastAsia="zh-CN"/>
        </w:rPr>
        <w:t>当</w:t>
      </w:r>
      <w:r>
        <w:rPr>
          <w:rFonts w:hint="eastAsia" w:ascii="仿宋_GB2312" w:eastAsia="仿宋_GB2312" w:cs="仿宋_GB2312"/>
          <w:color w:val="auto"/>
          <w:sz w:val="32"/>
          <w:szCs w:val="32"/>
        </w:rPr>
        <w:t>单独编制城市设计，强化对建设工程设计方案的指导，重点片区的范围由市资源规划</w:t>
      </w:r>
      <w:r>
        <w:rPr>
          <w:rFonts w:hint="eastAsia" w:ascii="仿宋_GB2312" w:eastAsia="仿宋_GB2312" w:cs="仿宋_GB2312"/>
          <w:color w:val="auto"/>
          <w:sz w:val="32"/>
          <w:szCs w:val="32"/>
          <w:lang w:eastAsia="zh-CN"/>
        </w:rPr>
        <w:t>主管</w:t>
      </w:r>
      <w:r>
        <w:rPr>
          <w:rFonts w:hint="eastAsia" w:ascii="仿宋_GB2312" w:eastAsia="仿宋_GB2312" w:cs="仿宋_GB2312"/>
          <w:color w:val="auto"/>
          <w:sz w:val="32"/>
          <w:szCs w:val="32"/>
        </w:rPr>
        <w:t>部门划定后向社会公布。街区（地块）层面，可根据需要编制实施性城市设计，并形成图则纳入地块出让规划设计条件。</w:t>
      </w:r>
      <w:bookmarkEnd w:id="148"/>
    </w:p>
    <w:p>
      <w:pPr>
        <w:pageBreakBefore w:val="0"/>
        <w:kinsoku/>
        <w:wordWrap/>
        <w:overflowPunct/>
        <w:topLinePunct w:val="0"/>
        <w:bidi w:val="0"/>
        <w:snapToGrid/>
        <w:spacing w:line="360" w:lineRule="auto"/>
        <w:ind w:firstLine="640" w:firstLineChars="20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国土空间专项设计是在国土空间总体规划及总体设计的统筹约束下，针对特定空间或景观要素开展的专业化、针对性空间设计</w:t>
      </w:r>
      <w:r>
        <w:rPr>
          <w:rFonts w:hint="eastAsia" w:ascii="仿宋_GB2312" w:eastAsia="仿宋_GB2312" w:cs="仿宋_GB2312"/>
          <w:color w:val="auto"/>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eastAsia="仿宋_GB2312" w:cs="仿宋_GB2312"/>
          <w:color w:val="auto"/>
          <w:sz w:val="32"/>
          <w:szCs w:val="32"/>
          <w:lang w:eastAsia="zh-CN"/>
        </w:rPr>
      </w:pPr>
      <w:bookmarkStart w:id="149" w:name="_Toc2067688079"/>
      <w:bookmarkStart w:id="150" w:name="_Toc1685253185"/>
      <w:bookmarkStart w:id="151" w:name="_Toc485480882"/>
      <w:bookmarkStart w:id="152" w:name="_Toc917787139"/>
      <w:bookmarkStart w:id="153" w:name="_Toc1384586240"/>
      <w:bookmarkStart w:id="154" w:name="_Toc895826669"/>
      <w:r>
        <w:rPr>
          <w:rFonts w:hint="eastAsia" w:ascii="仿宋_GB2312" w:hAnsi="仿宋_GB2312" w:eastAsia="仿宋_GB2312" w:cs="仿宋_GB2312"/>
          <w:color w:val="auto"/>
          <w:lang w:eastAsia="zh-CN"/>
        </w:rPr>
        <w:t>第十九条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国土空间设计编审</w:t>
      </w:r>
      <w:r>
        <w:rPr>
          <w:rFonts w:hint="eastAsia" w:ascii="仿宋_GB2312" w:hAnsi="仿宋_GB2312" w:eastAsia="仿宋_GB2312" w:cs="仿宋_GB2312"/>
          <w:color w:val="auto"/>
        </w:rPr>
        <w:t>】</w:t>
      </w:r>
      <w:bookmarkEnd w:id="149"/>
      <w:bookmarkEnd w:id="150"/>
      <w:bookmarkEnd w:id="151"/>
      <w:bookmarkEnd w:id="152"/>
      <w:bookmarkEnd w:id="153"/>
      <w:bookmarkEnd w:id="154"/>
      <w:r>
        <w:rPr>
          <w:rFonts w:hint="eastAsia" w:ascii="仿宋_GB2312" w:eastAsia="仿宋_GB2312" w:cs="仿宋_GB2312"/>
          <w:b w:val="0"/>
          <w:bCs/>
          <w:color w:val="auto"/>
          <w:sz w:val="32"/>
          <w:szCs w:val="32"/>
        </w:rPr>
        <w:t>国土空间总体设计、专项设计由市</w:t>
      </w:r>
      <w:r>
        <w:rPr>
          <w:rFonts w:hint="eastAsia" w:ascii="仿宋_GB2312" w:eastAsia="仿宋_GB2312" w:cs="仿宋_GB2312"/>
          <w:b w:val="0"/>
          <w:bCs/>
          <w:color w:val="auto"/>
          <w:sz w:val="32"/>
          <w:szCs w:val="32"/>
          <w:lang w:eastAsia="zh-CN"/>
        </w:rPr>
        <w:t>资源规划主管部门</w:t>
      </w:r>
      <w:r>
        <w:rPr>
          <w:rFonts w:hint="eastAsia" w:ascii="仿宋_GB2312" w:eastAsia="仿宋_GB2312" w:cs="仿宋_GB2312"/>
          <w:b w:val="0"/>
          <w:bCs/>
          <w:color w:val="auto"/>
          <w:sz w:val="32"/>
          <w:szCs w:val="32"/>
        </w:rPr>
        <w:t>组织编制；重点片区城市设计、街区（地块）城市设计由市</w:t>
      </w:r>
      <w:r>
        <w:rPr>
          <w:rFonts w:hint="eastAsia" w:ascii="仿宋_GB2312" w:eastAsia="仿宋_GB2312" w:cs="仿宋_GB2312"/>
          <w:b w:val="0"/>
          <w:bCs/>
          <w:color w:val="auto"/>
          <w:sz w:val="32"/>
          <w:szCs w:val="32"/>
          <w:lang w:eastAsia="zh-CN"/>
        </w:rPr>
        <w:t>资源规划主管部门</w:t>
      </w:r>
      <w:r>
        <w:rPr>
          <w:rFonts w:hint="eastAsia" w:ascii="仿宋_GB2312" w:eastAsia="仿宋_GB2312" w:cs="仿宋_GB2312"/>
          <w:b w:val="0"/>
          <w:bCs/>
          <w:color w:val="auto"/>
          <w:sz w:val="32"/>
          <w:szCs w:val="32"/>
        </w:rPr>
        <w:t>或相关部门组织编制；一般片区城市设计和乡村设计由相关部门结合实际需求组织编制。国土空间</w:t>
      </w:r>
      <w:bookmarkStart w:id="155" w:name="OLE_LINK8"/>
      <w:r>
        <w:rPr>
          <w:rFonts w:hint="eastAsia" w:ascii="仿宋_GB2312" w:eastAsia="仿宋_GB2312" w:cs="仿宋_GB2312"/>
          <w:b w:val="0"/>
          <w:bCs/>
          <w:color w:val="auto"/>
          <w:sz w:val="32"/>
          <w:szCs w:val="32"/>
        </w:rPr>
        <w:t>总体设计、重点片区城市设计</w:t>
      </w:r>
      <w:bookmarkEnd w:id="155"/>
      <w:r>
        <w:rPr>
          <w:rFonts w:hint="eastAsia" w:ascii="仿宋_GB2312" w:eastAsia="仿宋_GB2312" w:cs="仿宋_GB2312"/>
          <w:b w:val="0"/>
          <w:bCs/>
          <w:color w:val="auto"/>
          <w:sz w:val="32"/>
          <w:szCs w:val="32"/>
        </w:rPr>
        <w:t>应当经市人民政府审议通过。</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b w:val="0"/>
          <w:bCs/>
          <w:color w:val="auto"/>
          <w:kern w:val="0"/>
          <w:sz w:val="32"/>
          <w:szCs w:val="32"/>
          <w:shd w:val="clear" w:color="auto" w:fill="FFFFFF"/>
        </w:rPr>
      </w:pPr>
      <w:bookmarkStart w:id="156" w:name="_Toc1105678666"/>
      <w:bookmarkStart w:id="157" w:name="_Toc47114213"/>
      <w:bookmarkStart w:id="158" w:name="_Toc321462366"/>
      <w:bookmarkStart w:id="159" w:name="_Toc1813186039"/>
      <w:bookmarkStart w:id="160" w:name="_Toc224105712"/>
      <w:bookmarkStart w:id="161" w:name="_Toc1098771914"/>
      <w:r>
        <w:rPr>
          <w:rFonts w:hint="eastAsia" w:ascii="仿宋_GB2312" w:hAnsi="仿宋_GB2312" w:eastAsia="仿宋_GB2312" w:cs="仿宋_GB2312"/>
          <w:b/>
          <w:bCs w:val="0"/>
          <w:color w:val="auto"/>
          <w:lang w:eastAsia="zh-CN"/>
        </w:rPr>
        <w:t>第二十条</w:t>
      </w:r>
      <w:r>
        <w:rPr>
          <w:rFonts w:hint="eastAsia" w:ascii="仿宋_GB2312" w:hAnsi="仿宋_GB2312" w:eastAsia="仿宋_GB2312" w:cs="仿宋_GB2312"/>
          <w:b/>
          <w:bCs w:val="0"/>
          <w:color w:val="auto"/>
        </w:rPr>
        <w:t>【批前公示和批后公布】</w:t>
      </w:r>
      <w:bookmarkEnd w:id="156"/>
      <w:bookmarkEnd w:id="157"/>
      <w:bookmarkEnd w:id="158"/>
      <w:bookmarkEnd w:id="159"/>
      <w:bookmarkEnd w:id="160"/>
      <w:bookmarkEnd w:id="161"/>
      <w:r>
        <w:rPr>
          <w:rFonts w:hint="eastAsia" w:ascii="仿宋_GB2312" w:hAnsi="仿宋_GB2312" w:eastAsia="仿宋_GB2312" w:cs="仿宋_GB2312"/>
          <w:b w:val="0"/>
          <w:bCs/>
          <w:color w:val="auto"/>
          <w:kern w:val="0"/>
          <w:sz w:val="32"/>
          <w:szCs w:val="32"/>
          <w:shd w:val="clear" w:color="auto" w:fill="FFFFFF"/>
        </w:rPr>
        <w:t>国土空间规划报送审批前，</w:t>
      </w:r>
      <w:r>
        <w:rPr>
          <w:rFonts w:hint="eastAsia" w:ascii="仿宋_GB2312" w:hAnsi="仿宋_GB2312" w:eastAsia="仿宋_GB2312" w:cs="仿宋_GB2312"/>
          <w:b w:val="0"/>
          <w:bCs/>
          <w:color w:val="auto"/>
          <w:kern w:val="0"/>
          <w:sz w:val="32"/>
          <w:szCs w:val="32"/>
          <w:shd w:val="clear" w:color="auto" w:fill="FFFFFF"/>
          <w:lang w:eastAsia="zh-CN"/>
        </w:rPr>
        <w:t>应当</w:t>
      </w:r>
      <w:r>
        <w:rPr>
          <w:rFonts w:hint="eastAsia" w:ascii="仿宋_GB2312" w:hAnsi="仿宋_GB2312" w:eastAsia="仿宋_GB2312" w:cs="仿宋_GB2312"/>
          <w:b w:val="0"/>
          <w:bCs/>
          <w:color w:val="auto"/>
          <w:kern w:val="0"/>
          <w:sz w:val="32"/>
          <w:szCs w:val="32"/>
          <w:shd w:val="clear" w:color="auto" w:fill="FFFFFF"/>
          <w:lang w:val="en-US" w:eastAsia="zh-CN"/>
        </w:rPr>
        <w:t>开展批前技术审查并</w:t>
      </w:r>
      <w:r>
        <w:rPr>
          <w:rFonts w:hint="eastAsia" w:ascii="仿宋_GB2312" w:hAnsi="仿宋_GB2312" w:eastAsia="仿宋_GB2312" w:cs="仿宋_GB2312"/>
          <w:b w:val="0"/>
          <w:bCs/>
          <w:color w:val="auto"/>
          <w:kern w:val="0"/>
          <w:sz w:val="32"/>
          <w:szCs w:val="32"/>
          <w:shd w:val="clear" w:color="auto" w:fill="FFFFFF"/>
        </w:rPr>
        <w:t>征求专家和公众意见，依法发布公告公开征求社会意见，公告时间不得少于三十日，但</w:t>
      </w:r>
      <w:r>
        <w:rPr>
          <w:rFonts w:hint="eastAsia" w:ascii="仿宋_GB2312" w:hAnsi="仿宋_GB2312" w:eastAsia="仿宋_GB2312" w:cs="仿宋_GB2312"/>
          <w:b w:val="0"/>
          <w:bCs/>
          <w:color w:val="auto"/>
          <w:kern w:val="0"/>
          <w:sz w:val="32"/>
          <w:szCs w:val="32"/>
          <w:shd w:val="clear" w:color="auto" w:fill="FFFFFF"/>
          <w:lang w:eastAsia="zh-CN"/>
        </w:rPr>
        <w:t>法律法规</w:t>
      </w:r>
      <w:r>
        <w:rPr>
          <w:rFonts w:hint="eastAsia" w:ascii="仿宋_GB2312" w:hAnsi="仿宋_GB2312" w:eastAsia="仿宋_GB2312" w:cs="仿宋_GB2312"/>
          <w:b w:val="0"/>
          <w:bCs/>
          <w:color w:val="auto"/>
          <w:kern w:val="0"/>
          <w:sz w:val="32"/>
          <w:szCs w:val="32"/>
          <w:shd w:val="clear" w:color="auto" w:fill="FFFFFF"/>
        </w:rPr>
        <w:t>规定不得公开的内容除外。</w:t>
      </w:r>
    </w:p>
    <w:p>
      <w:pPr>
        <w:pStyle w:val="20"/>
        <w:pageBreakBefore w:val="0"/>
        <w:kinsoku/>
        <w:wordWrap/>
        <w:overflowPunct/>
        <w:topLinePunct w:val="0"/>
        <w:bidi w:val="0"/>
        <w:snapToGrid/>
        <w:spacing w:line="360" w:lineRule="auto"/>
        <w:ind w:right="-99" w:firstLine="64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经依法批准的</w:t>
      </w:r>
      <w:r>
        <w:rPr>
          <w:rFonts w:hint="eastAsia" w:ascii="仿宋_GB2312" w:hAnsi="仿宋_GB2312" w:eastAsia="仿宋_GB2312" w:cs="仿宋_GB2312"/>
          <w:color w:val="auto"/>
          <w:kern w:val="0"/>
          <w:sz w:val="32"/>
          <w:szCs w:val="32"/>
          <w:shd w:val="clear" w:color="auto" w:fill="FFFFFF"/>
        </w:rPr>
        <w:t>国土空间规划，应当</w:t>
      </w:r>
      <w:r>
        <w:rPr>
          <w:rFonts w:hint="eastAsia" w:ascii="仿宋_GB2312" w:hAnsi="仿宋_GB2312" w:eastAsia="仿宋_GB2312" w:cs="仿宋_GB2312"/>
          <w:color w:val="auto"/>
          <w:kern w:val="0"/>
          <w:sz w:val="32"/>
          <w:szCs w:val="32"/>
          <w:shd w:val="clear" w:color="auto" w:fill="FFFFFF"/>
          <w:lang w:val="en-US" w:eastAsia="zh-CN"/>
        </w:rPr>
        <w:t>及时通过</w:t>
      </w:r>
      <w:r>
        <w:rPr>
          <w:rFonts w:hint="eastAsia" w:ascii="仿宋_GB2312" w:hAnsi="仿宋_GB2312" w:eastAsia="仿宋_GB2312" w:cs="仿宋_GB2312"/>
          <w:color w:val="auto"/>
          <w:kern w:val="0"/>
          <w:sz w:val="32"/>
          <w:szCs w:val="32"/>
          <w:shd w:val="clear" w:color="auto" w:fill="FFFFFF"/>
        </w:rPr>
        <w:t>政府网站依法向社会公布，方便公众查询，强化社会监督，但</w:t>
      </w:r>
      <w:r>
        <w:rPr>
          <w:rFonts w:hint="eastAsia" w:ascii="仿宋_GB2312" w:hAnsi="仿宋_GB2312" w:eastAsia="仿宋_GB2312" w:cs="仿宋_GB2312"/>
          <w:color w:val="auto"/>
          <w:kern w:val="0"/>
          <w:sz w:val="32"/>
          <w:szCs w:val="32"/>
          <w:shd w:val="clear" w:color="auto" w:fill="FFFFFF"/>
          <w:lang w:eastAsia="zh-CN"/>
        </w:rPr>
        <w:t>法律法规</w:t>
      </w:r>
      <w:r>
        <w:rPr>
          <w:rFonts w:hint="eastAsia" w:ascii="仿宋_GB2312" w:hAnsi="仿宋_GB2312" w:eastAsia="仿宋_GB2312" w:cs="仿宋_GB2312"/>
          <w:color w:val="auto"/>
          <w:kern w:val="0"/>
          <w:sz w:val="32"/>
          <w:szCs w:val="32"/>
          <w:shd w:val="clear" w:color="auto" w:fill="FFFFFF"/>
        </w:rPr>
        <w:t>规定不得公开的内容除外。</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kern w:val="0"/>
          <w:sz w:val="32"/>
          <w:szCs w:val="32"/>
          <w:shd w:val="clear" w:color="auto" w:fill="FFFFFF"/>
        </w:rPr>
      </w:pPr>
      <w:bookmarkStart w:id="162" w:name="_Toc705225960"/>
      <w:bookmarkStart w:id="163" w:name="_Toc1218214311"/>
      <w:bookmarkStart w:id="164" w:name="_Toc320491096"/>
      <w:bookmarkStart w:id="165" w:name="_Toc1174251969"/>
      <w:bookmarkStart w:id="166" w:name="_Toc2036693813"/>
      <w:bookmarkStart w:id="167" w:name="_Toc342137156"/>
      <w:r>
        <w:rPr>
          <w:rFonts w:hint="eastAsia" w:ascii="仿宋_GB2312" w:hAnsi="仿宋_GB2312" w:eastAsia="仿宋_GB2312" w:cs="仿宋_GB2312"/>
          <w:color w:val="auto"/>
          <w:lang w:eastAsia="zh-CN"/>
        </w:rPr>
        <w:t>第二十一条</w:t>
      </w:r>
      <w:r>
        <w:rPr>
          <w:rFonts w:hint="eastAsia" w:ascii="仿宋_GB2312" w:hAnsi="仿宋_GB2312" w:eastAsia="仿宋_GB2312" w:cs="仿宋_GB2312"/>
          <w:color w:val="auto"/>
        </w:rPr>
        <w:t>【成果入库】</w:t>
      </w:r>
      <w:bookmarkEnd w:id="162"/>
      <w:bookmarkEnd w:id="163"/>
      <w:bookmarkEnd w:id="164"/>
      <w:bookmarkEnd w:id="165"/>
      <w:bookmarkEnd w:id="166"/>
      <w:bookmarkEnd w:id="167"/>
      <w:r>
        <w:rPr>
          <w:rFonts w:hint="eastAsia" w:ascii="仿宋_GB2312" w:hAnsi="仿宋_GB2312" w:eastAsia="仿宋_GB2312" w:cs="仿宋_GB2312"/>
          <w:b w:val="0"/>
          <w:bCs/>
          <w:color w:val="auto"/>
          <w:kern w:val="0"/>
          <w:sz w:val="32"/>
          <w:szCs w:val="32"/>
          <w:shd w:val="clear" w:color="auto" w:fill="FFFFFF"/>
        </w:rPr>
        <w:t>经批准的国土空间规划成果应</w:t>
      </w:r>
      <w:r>
        <w:rPr>
          <w:rFonts w:hint="eastAsia" w:ascii="仿宋_GB2312" w:hAnsi="仿宋_GB2312" w:eastAsia="仿宋_GB2312" w:cs="仿宋_GB2312"/>
          <w:b w:val="0"/>
          <w:bCs/>
          <w:color w:val="auto"/>
          <w:kern w:val="0"/>
          <w:sz w:val="32"/>
          <w:szCs w:val="32"/>
          <w:shd w:val="clear" w:color="auto" w:fill="FFFFFF"/>
          <w:lang w:val="en-US" w:eastAsia="zh-CN"/>
        </w:rPr>
        <w:t>当</w:t>
      </w:r>
      <w:r>
        <w:rPr>
          <w:rFonts w:hint="eastAsia" w:ascii="仿宋_GB2312" w:hAnsi="仿宋_GB2312" w:eastAsia="仿宋_GB2312" w:cs="仿宋_GB2312"/>
          <w:b w:val="0"/>
          <w:bCs/>
          <w:color w:val="auto"/>
          <w:kern w:val="0"/>
          <w:sz w:val="32"/>
          <w:szCs w:val="32"/>
          <w:shd w:val="clear" w:color="auto" w:fill="FFFFFF"/>
        </w:rPr>
        <w:t>及时纳入国土空间规划“一张图”信息平台进行管理。</w:t>
      </w:r>
    </w:p>
    <w:p>
      <w:pPr>
        <w:pStyle w:val="20"/>
        <w:pageBreakBefore w:val="0"/>
        <w:kinsoku/>
        <w:wordWrap/>
        <w:overflowPunct/>
        <w:topLinePunct w:val="0"/>
        <w:bidi w:val="0"/>
        <w:snapToGrid/>
        <w:spacing w:line="360" w:lineRule="auto"/>
        <w:ind w:right="-99" w:firstLine="640"/>
        <w:textAlignment w:val="auto"/>
        <w:rPr>
          <w:rFonts w:hint="eastAsia" w:ascii="仿宋_GB2312" w:hAnsi="仿宋_GB2312" w:eastAsia="仿宋_GB2312" w:cs="仿宋_GB2312"/>
          <w:color w:val="auto"/>
          <w:kern w:val="0"/>
          <w:sz w:val="32"/>
          <w:szCs w:val="32"/>
          <w:shd w:val="clear" w:color="auto" w:fill="FFFFFF"/>
        </w:rPr>
      </w:pPr>
    </w:p>
    <w:p>
      <w:pPr>
        <w:pStyle w:val="3"/>
        <w:keepNext w:val="0"/>
        <w:keepLines w:val="0"/>
        <w:pageBreakBefore w:val="0"/>
        <w:numPr>
          <w:ilvl w:val="0"/>
          <w:numId w:val="1"/>
        </w:numPr>
        <w:kinsoku/>
        <w:wordWrap/>
        <w:overflowPunct/>
        <w:topLinePunct w:val="0"/>
        <w:bidi w:val="0"/>
        <w:snapToGrid/>
        <w:spacing w:before="0" w:after="0" w:line="360" w:lineRule="auto"/>
        <w:jc w:val="center"/>
        <w:textAlignment w:val="auto"/>
        <w:rPr>
          <w:b w:val="0"/>
          <w:bCs/>
          <w:color w:val="auto"/>
        </w:rPr>
      </w:pPr>
      <w:bookmarkStart w:id="168" w:name="_Toc429017971"/>
      <w:bookmarkStart w:id="169" w:name="_Toc1958442337"/>
      <w:bookmarkStart w:id="170" w:name="_Toc75171615"/>
      <w:bookmarkStart w:id="171" w:name="_Toc46897155"/>
      <w:bookmarkStart w:id="172" w:name="_Toc809403921"/>
      <w:bookmarkStart w:id="173" w:name="_Toc1162193846"/>
      <w:r>
        <w:rPr>
          <w:rFonts w:hint="eastAsia"/>
          <w:b w:val="0"/>
          <w:bCs/>
          <w:color w:val="auto"/>
        </w:rPr>
        <w:t>国土空间管控与</w:t>
      </w:r>
      <w:r>
        <w:rPr>
          <w:rFonts w:hint="eastAsia"/>
          <w:b w:val="0"/>
          <w:bCs/>
          <w:color w:val="auto"/>
          <w:lang w:val="en-US" w:eastAsia="zh-CN"/>
        </w:rPr>
        <w:t>治理</w:t>
      </w:r>
      <w:r>
        <w:rPr>
          <w:rFonts w:hint="eastAsia"/>
          <w:b w:val="0"/>
          <w:bCs/>
          <w:color w:val="auto"/>
        </w:rPr>
        <w:t>修复</w:t>
      </w:r>
      <w:bookmarkEnd w:id="168"/>
      <w:bookmarkEnd w:id="169"/>
      <w:bookmarkEnd w:id="170"/>
      <w:bookmarkEnd w:id="171"/>
      <w:bookmarkEnd w:id="172"/>
      <w:bookmarkEnd w:id="173"/>
    </w:p>
    <w:p>
      <w:pPr>
        <w:spacing w:line="360" w:lineRule="auto"/>
        <w:rPr>
          <w:color w:val="auto"/>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bCs/>
          <w:color w:val="auto"/>
          <w:sz w:val="32"/>
          <w:szCs w:val="32"/>
        </w:rPr>
      </w:pPr>
      <w:bookmarkStart w:id="174" w:name="_Toc140579805"/>
      <w:bookmarkStart w:id="175" w:name="_Toc1093864267"/>
      <w:bookmarkStart w:id="176" w:name="_Toc1224050775"/>
      <w:bookmarkStart w:id="177" w:name="_Toc1427059607"/>
      <w:bookmarkStart w:id="178" w:name="_Toc1326645002"/>
      <w:bookmarkStart w:id="179" w:name="_Toc303511071"/>
      <w:r>
        <w:rPr>
          <w:rFonts w:hint="eastAsia" w:ascii="仿宋_GB2312" w:hAnsi="仿宋_GB2312" w:eastAsia="仿宋_GB2312" w:cs="仿宋_GB2312"/>
          <w:color w:val="auto"/>
          <w:lang w:eastAsia="zh-CN"/>
        </w:rPr>
        <w:t>第二十二条</w:t>
      </w:r>
      <w:r>
        <w:rPr>
          <w:rFonts w:hint="eastAsia" w:ascii="仿宋_GB2312" w:hAnsi="仿宋_GB2312" w:eastAsia="仿宋_GB2312" w:cs="仿宋_GB2312"/>
          <w:color w:val="auto"/>
        </w:rPr>
        <w:t>【总体要求管控】</w:t>
      </w:r>
      <w:bookmarkEnd w:id="174"/>
      <w:bookmarkEnd w:id="175"/>
      <w:bookmarkEnd w:id="176"/>
      <w:bookmarkEnd w:id="177"/>
      <w:bookmarkEnd w:id="178"/>
      <w:bookmarkEnd w:id="179"/>
      <w:r>
        <w:rPr>
          <w:rFonts w:hint="eastAsia" w:ascii="仿宋_GB2312" w:hAnsi="仿宋_GB2312" w:eastAsia="仿宋_GB2312" w:cs="仿宋_GB2312"/>
          <w:b w:val="0"/>
          <w:bCs w:val="0"/>
          <w:color w:val="auto"/>
          <w:sz w:val="32"/>
          <w:szCs w:val="32"/>
        </w:rPr>
        <w:t>立足厦门自然资源禀赋，</w:t>
      </w:r>
      <w:r>
        <w:rPr>
          <w:rFonts w:hint="eastAsia" w:ascii="仿宋_GB2312" w:hAnsi="仿宋_GB2312" w:eastAsia="仿宋_GB2312" w:cs="仿宋_GB2312"/>
          <w:b w:val="0"/>
          <w:bCs w:val="0"/>
          <w:color w:val="auto"/>
          <w:sz w:val="32"/>
          <w:szCs w:val="32"/>
          <w:lang w:val="en-US" w:eastAsia="zh-CN"/>
        </w:rPr>
        <w:t>构建“山海相融、城海相依”的空间格局</w:t>
      </w:r>
      <w:r>
        <w:rPr>
          <w:rFonts w:hint="eastAsia" w:ascii="仿宋_GB2312" w:hAnsi="仿宋_GB2312" w:eastAsia="仿宋_GB2312" w:cs="仿宋_GB2312"/>
          <w:b w:val="0"/>
          <w:bCs w:val="0"/>
          <w:color w:val="auto"/>
          <w:kern w:val="0"/>
          <w:sz w:val="32"/>
          <w:szCs w:val="32"/>
          <w:shd w:val="clear" w:color="auto" w:fill="FFFFFF"/>
          <w:lang w:eastAsia="zh-CN"/>
        </w:rPr>
        <w:t>，</w:t>
      </w:r>
      <w:r>
        <w:rPr>
          <w:rFonts w:hint="eastAsia" w:ascii="仿宋_GB2312" w:hAnsi="仿宋_GB2312" w:eastAsia="仿宋_GB2312" w:cs="仿宋_GB2312"/>
          <w:b w:val="0"/>
          <w:bCs w:val="0"/>
          <w:color w:val="auto"/>
          <w:sz w:val="32"/>
          <w:szCs w:val="32"/>
        </w:rPr>
        <w:t>深化落实主体功能区战略，依据国土空间规划</w:t>
      </w:r>
      <w:r>
        <w:rPr>
          <w:rFonts w:hint="eastAsia" w:ascii="仿宋_GB2312" w:hAnsi="仿宋_GB2312" w:eastAsia="仿宋_GB2312" w:cs="仿宋_GB2312"/>
          <w:b w:val="0"/>
          <w:bCs w:val="0"/>
          <w:color w:val="auto"/>
          <w:sz w:val="32"/>
          <w:szCs w:val="32"/>
          <w:lang w:eastAsia="zh-CN"/>
        </w:rPr>
        <w:t>以</w:t>
      </w:r>
      <w:r>
        <w:rPr>
          <w:rFonts w:hint="eastAsia" w:ascii="仿宋_GB2312" w:hAnsi="仿宋_GB2312" w:eastAsia="仿宋_GB2312" w:cs="仿宋_GB2312"/>
          <w:b w:val="0"/>
          <w:bCs w:val="0"/>
          <w:color w:val="auto"/>
          <w:sz w:val="32"/>
          <w:szCs w:val="32"/>
        </w:rPr>
        <w:t>及</w:t>
      </w:r>
      <w:r>
        <w:rPr>
          <w:rFonts w:hint="eastAsia" w:ascii="仿宋_GB2312" w:hAnsi="仿宋_GB2312" w:eastAsia="仿宋_GB2312" w:cs="仿宋_GB2312"/>
          <w:b w:val="0"/>
          <w:bCs w:val="0"/>
          <w:color w:val="auto"/>
          <w:sz w:val="32"/>
          <w:szCs w:val="32"/>
          <w:lang w:val="en-US" w:eastAsia="zh-CN"/>
        </w:rPr>
        <w:t>生态环境分区</w:t>
      </w:r>
      <w:r>
        <w:rPr>
          <w:rFonts w:hint="eastAsia" w:ascii="仿宋_GB2312" w:hAnsi="仿宋_GB2312" w:eastAsia="仿宋_GB2312" w:cs="仿宋_GB2312"/>
          <w:b w:val="0"/>
          <w:bCs w:val="0"/>
          <w:color w:val="auto"/>
          <w:sz w:val="32"/>
          <w:szCs w:val="32"/>
        </w:rPr>
        <w:t>管控要求，</w:t>
      </w:r>
      <w:r>
        <w:rPr>
          <w:rFonts w:hint="eastAsia" w:ascii="仿宋_GB2312" w:hAnsi="仿宋_GB2312" w:eastAsia="仿宋_GB2312" w:cs="仿宋_GB2312"/>
          <w:b w:val="0"/>
          <w:bCs w:val="0"/>
          <w:color w:val="auto"/>
          <w:sz w:val="32"/>
          <w:szCs w:val="32"/>
          <w:lang w:val="en-US" w:eastAsia="zh-CN"/>
        </w:rPr>
        <w:t>统筹自然</w:t>
      </w:r>
      <w:r>
        <w:rPr>
          <w:rFonts w:hint="eastAsia" w:ascii="仿宋_GB2312" w:hAnsi="仿宋_GB2312" w:eastAsia="仿宋_GB2312" w:cs="仿宋_GB2312"/>
          <w:b w:val="0"/>
          <w:bCs w:val="0"/>
          <w:color w:val="auto"/>
          <w:sz w:val="32"/>
          <w:szCs w:val="32"/>
        </w:rPr>
        <w:t>资源合理开发、高效利用。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642" w:firstLineChars="200"/>
        <w:textAlignment w:val="auto"/>
        <w:rPr>
          <w:rFonts w:ascii="仿宋_GB2312" w:hAnsi="仿宋_GB2312" w:eastAsia="仿宋_GB2312" w:cs="仿宋_GB2312"/>
          <w:color w:val="auto"/>
        </w:rPr>
      </w:pPr>
      <w:bookmarkStart w:id="180" w:name="_Toc790512249"/>
      <w:bookmarkStart w:id="181" w:name="_Toc1277239590"/>
      <w:bookmarkStart w:id="182" w:name="_Toc742512407"/>
      <w:bookmarkStart w:id="183" w:name="_Toc503030170"/>
      <w:bookmarkStart w:id="184" w:name="_Toc475370421"/>
      <w:bookmarkStart w:id="185" w:name="_Toc2046457149"/>
      <w:r>
        <w:rPr>
          <w:rFonts w:hint="eastAsia" w:ascii="仿宋_GB2312" w:hAnsi="仿宋_GB2312" w:eastAsia="仿宋_GB2312" w:cs="仿宋_GB2312"/>
          <w:color w:val="auto"/>
          <w:lang w:eastAsia="zh-CN"/>
        </w:rPr>
        <w:t>第二十三条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农业空间管控</w:t>
      </w:r>
      <w:r>
        <w:rPr>
          <w:rFonts w:hint="eastAsia" w:ascii="仿宋_GB2312" w:hAnsi="仿宋_GB2312" w:eastAsia="仿宋_GB2312" w:cs="仿宋_GB2312"/>
          <w:color w:val="auto"/>
        </w:rPr>
        <w:t>】</w:t>
      </w:r>
      <w:bookmarkEnd w:id="180"/>
      <w:bookmarkEnd w:id="181"/>
      <w:bookmarkEnd w:id="182"/>
      <w:bookmarkEnd w:id="183"/>
      <w:bookmarkEnd w:id="184"/>
      <w:r>
        <w:rPr>
          <w:rFonts w:hint="eastAsia" w:ascii="仿宋_GB2312" w:hAnsi="仿宋_GB2312" w:eastAsia="仿宋_GB2312" w:cs="仿宋_GB2312"/>
          <w:b w:val="0"/>
          <w:bCs/>
          <w:color w:val="auto"/>
          <w:sz w:val="32"/>
          <w:szCs w:val="32"/>
          <w:lang w:val="en-US" w:eastAsia="zh-CN"/>
        </w:rPr>
        <w:t>立足农业空间功能定位，构建现代都市农业发展空间格局，</w:t>
      </w:r>
      <w:r>
        <w:rPr>
          <w:rFonts w:hint="eastAsia" w:ascii="仿宋_GB2312" w:hAnsi="仿宋_GB2312" w:eastAsia="仿宋_GB2312" w:cs="仿宋_GB2312"/>
          <w:b w:val="0"/>
          <w:bCs/>
          <w:color w:val="auto"/>
          <w:sz w:val="32"/>
          <w:szCs w:val="32"/>
        </w:rPr>
        <w:t>市资源规划主管部门组织</w:t>
      </w:r>
      <w:r>
        <w:rPr>
          <w:rFonts w:hint="eastAsia" w:ascii="仿宋_GB2312" w:hAnsi="仿宋_GB2312" w:eastAsia="仿宋_GB2312" w:cs="仿宋_GB2312"/>
          <w:b w:val="0"/>
          <w:bCs/>
          <w:color w:val="auto"/>
          <w:sz w:val="32"/>
          <w:szCs w:val="32"/>
          <w:lang w:val="en-US" w:eastAsia="zh-CN"/>
        </w:rPr>
        <w:t>编制农业空间（耕地）保护利用规划，严守耕地保护红线，统筹优化农用地布局，平衡耕地保护刚性约束与农业适度规模化发展、特色产业培育、农民生活改善的合理需求。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bCs/>
          <w:color w:val="auto"/>
          <w:sz w:val="32"/>
          <w:szCs w:val="32"/>
        </w:rPr>
      </w:pPr>
      <w:bookmarkStart w:id="186" w:name="_Toc182640309"/>
      <w:bookmarkStart w:id="187" w:name="_Toc1666477387"/>
      <w:bookmarkStart w:id="188" w:name="_Toc292999825"/>
      <w:bookmarkStart w:id="189" w:name="_Toc77065834"/>
      <w:bookmarkStart w:id="190" w:name="_Toc740333804"/>
      <w:r>
        <w:rPr>
          <w:rFonts w:hint="eastAsia" w:ascii="仿宋_GB2312" w:hAnsi="仿宋_GB2312" w:eastAsia="仿宋_GB2312" w:cs="仿宋_GB2312"/>
          <w:color w:val="auto"/>
          <w:lang w:eastAsia="zh-CN"/>
        </w:rPr>
        <w:t>第二十四条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生态空间管控</w:t>
      </w:r>
      <w:r>
        <w:rPr>
          <w:rFonts w:hint="eastAsia" w:ascii="仿宋_GB2312" w:hAnsi="仿宋_GB2312" w:eastAsia="仿宋_GB2312" w:cs="仿宋_GB2312"/>
          <w:color w:val="auto"/>
        </w:rPr>
        <w:t>】</w:t>
      </w:r>
      <w:bookmarkEnd w:id="185"/>
      <w:bookmarkEnd w:id="186"/>
      <w:bookmarkEnd w:id="187"/>
      <w:bookmarkEnd w:id="188"/>
      <w:bookmarkEnd w:id="189"/>
      <w:bookmarkEnd w:id="190"/>
      <w:r>
        <w:rPr>
          <w:rFonts w:hint="eastAsia" w:ascii="仿宋_GB2312" w:hAnsi="仿宋_GB2312" w:eastAsia="仿宋_GB2312" w:cs="仿宋_GB2312"/>
          <w:b w:val="0"/>
          <w:bCs w:val="0"/>
          <w:color w:val="auto"/>
          <w:sz w:val="32"/>
          <w:szCs w:val="32"/>
        </w:rPr>
        <w:t>加强生态保护红线、自然保护地、</w:t>
      </w:r>
      <w:r>
        <w:rPr>
          <w:rFonts w:hint="eastAsia" w:ascii="仿宋_GB2312" w:hAnsi="仿宋_GB2312" w:eastAsia="仿宋_GB2312" w:cs="仿宋_GB2312"/>
          <w:b w:val="0"/>
          <w:bCs w:val="0"/>
          <w:color w:val="auto"/>
          <w:sz w:val="32"/>
          <w:szCs w:val="32"/>
          <w:lang w:val="en-US" w:eastAsia="zh-CN"/>
        </w:rPr>
        <w:t>重要</w:t>
      </w:r>
      <w:r>
        <w:rPr>
          <w:rFonts w:hint="eastAsia" w:ascii="仿宋_GB2312" w:hAnsi="仿宋_GB2312" w:eastAsia="仿宋_GB2312" w:cs="仿宋_GB2312"/>
          <w:b w:val="0"/>
          <w:bCs w:val="0"/>
          <w:color w:val="auto"/>
          <w:sz w:val="32"/>
          <w:szCs w:val="32"/>
        </w:rPr>
        <w:t>湿地等重要生态功能区的保护。重要生态</w:t>
      </w:r>
      <w:r>
        <w:rPr>
          <w:rFonts w:hint="eastAsia" w:ascii="仿宋_GB2312" w:hAnsi="仿宋_GB2312" w:eastAsia="仿宋_GB2312" w:cs="仿宋_GB2312"/>
          <w:b w:val="0"/>
          <w:bCs w:val="0"/>
          <w:color w:val="auto"/>
          <w:sz w:val="32"/>
          <w:szCs w:val="32"/>
          <w:lang w:val="en-US" w:eastAsia="zh-CN"/>
        </w:rPr>
        <w:t>功能</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的规划建设管理应</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遵循国家、省、市国土空间总体规划，确保其功能定位和保护要求与上位规划保持一致。</w:t>
      </w:r>
    </w:p>
    <w:p>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市资源规划主管部门组织划定生态控制线，报市政府批准后实施。生态控制线一经划定，任何单位和个人不得擅自调整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确需调整的，应当按照原批准程序办理。</w:t>
      </w:r>
      <w:r>
        <w:rPr>
          <w:rFonts w:hint="eastAsia" w:ascii="仿宋_GB2312" w:hAnsi="仿宋_GB2312" w:eastAsia="仿宋_GB2312" w:cs="仿宋_GB2312"/>
          <w:bCs/>
          <w:color w:val="auto"/>
          <w:sz w:val="32"/>
          <w:szCs w:val="32"/>
        </w:rPr>
        <w:t>生态控制线调整应当</w:t>
      </w:r>
      <w:r>
        <w:rPr>
          <w:rFonts w:hint="eastAsia" w:ascii="仿宋_GB2312" w:hAnsi="仿宋_GB2312" w:eastAsia="仿宋_GB2312" w:cs="仿宋_GB2312"/>
          <w:bCs/>
          <w:color w:val="auto"/>
          <w:sz w:val="32"/>
          <w:szCs w:val="32"/>
          <w:lang w:val="en-US" w:eastAsia="zh-CN"/>
        </w:rPr>
        <w:t>落实</w:t>
      </w:r>
      <w:r>
        <w:rPr>
          <w:rFonts w:hint="eastAsia" w:ascii="仿宋_GB2312" w:hAnsi="仿宋_GB2312" w:eastAsia="仿宋_GB2312" w:cs="仿宋_GB2312"/>
          <w:bCs/>
          <w:color w:val="auto"/>
          <w:sz w:val="32"/>
          <w:szCs w:val="32"/>
        </w:rPr>
        <w:t>占补平衡。</w:t>
      </w:r>
    </w:p>
    <w:p>
      <w:pPr>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林地保护与利用应当遵循国土空间总体规划和林地保护利用专项规划的要求，</w:t>
      </w:r>
      <w:r>
        <w:rPr>
          <w:rFonts w:hint="eastAsia" w:ascii="仿宋_GB2312" w:hAnsi="仿宋_GB2312" w:eastAsia="仿宋_GB2312" w:cs="仿宋_GB2312"/>
          <w:bCs/>
          <w:color w:val="auto"/>
          <w:sz w:val="32"/>
          <w:szCs w:val="32"/>
          <w:lang w:val="en-US" w:eastAsia="zh-CN"/>
        </w:rPr>
        <w:t>严格执行</w:t>
      </w:r>
      <w:r>
        <w:rPr>
          <w:rFonts w:hint="eastAsia" w:ascii="仿宋_GB2312" w:hAnsi="仿宋_GB2312" w:eastAsia="仿宋_GB2312" w:cs="仿宋_GB2312"/>
          <w:bCs/>
          <w:color w:val="auto"/>
          <w:sz w:val="32"/>
          <w:szCs w:val="32"/>
        </w:rPr>
        <w:t>林地用途转用审批</w:t>
      </w:r>
      <w:r>
        <w:rPr>
          <w:rFonts w:hint="eastAsia" w:ascii="仿宋_GB2312" w:hAnsi="仿宋_GB2312" w:eastAsia="仿宋_GB2312" w:cs="仿宋_GB2312"/>
          <w:bCs/>
          <w:color w:val="auto"/>
          <w:sz w:val="32"/>
          <w:szCs w:val="32"/>
          <w:lang w:val="en-US" w:eastAsia="zh-CN"/>
        </w:rPr>
        <w:t>与</w:t>
      </w:r>
      <w:r>
        <w:rPr>
          <w:rFonts w:hint="eastAsia" w:ascii="仿宋_GB2312" w:hAnsi="仿宋_GB2312" w:eastAsia="仿宋_GB2312" w:cs="仿宋_GB2312"/>
          <w:bCs/>
          <w:color w:val="auto"/>
          <w:sz w:val="32"/>
          <w:szCs w:val="32"/>
        </w:rPr>
        <w:t>森林采伐限额管理，各类森林资源开发、经营及其他利用活动，应当符合规划确定的空间布局、林地用途和管控条件。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kern w:val="2"/>
          <w:sz w:val="32"/>
          <w:szCs w:val="32"/>
        </w:rPr>
      </w:pPr>
      <w:bookmarkStart w:id="191" w:name="_Toc1339482200"/>
      <w:bookmarkStart w:id="192" w:name="_Toc78926069"/>
      <w:bookmarkStart w:id="193" w:name="_Toc1647536726"/>
      <w:bookmarkStart w:id="194" w:name="_Toc1782846849"/>
      <w:bookmarkStart w:id="195" w:name="_Toc404358677"/>
      <w:bookmarkStart w:id="196" w:name="_Toc1412123312"/>
      <w:r>
        <w:rPr>
          <w:rFonts w:hint="eastAsia" w:ascii="仿宋_GB2312" w:hAnsi="仿宋_GB2312" w:eastAsia="仿宋_GB2312" w:cs="仿宋_GB2312"/>
          <w:color w:val="auto"/>
          <w:lang w:eastAsia="zh-CN"/>
        </w:rPr>
        <w:t>第二十五条</w:t>
      </w:r>
      <w:r>
        <w:rPr>
          <w:rFonts w:hint="eastAsia" w:ascii="仿宋_GB2312" w:hAnsi="仿宋_GB2312" w:eastAsia="仿宋_GB2312" w:cs="仿宋_GB2312"/>
          <w:color w:val="auto"/>
        </w:rPr>
        <w:t>【城镇</w:t>
      </w:r>
      <w:r>
        <w:rPr>
          <w:rFonts w:hint="eastAsia" w:ascii="仿宋_GB2312" w:hAnsi="仿宋_GB2312" w:eastAsia="仿宋_GB2312" w:cs="仿宋_GB2312"/>
          <w:color w:val="auto"/>
          <w:lang w:val="en-US" w:eastAsia="zh-CN"/>
        </w:rPr>
        <w:t>空间管控</w:t>
      </w:r>
      <w:r>
        <w:rPr>
          <w:rFonts w:hint="eastAsia" w:ascii="仿宋_GB2312" w:hAnsi="仿宋_GB2312" w:eastAsia="仿宋_GB2312" w:cs="仿宋_GB2312"/>
          <w:color w:val="auto"/>
        </w:rPr>
        <w:t>】</w:t>
      </w:r>
      <w:bookmarkEnd w:id="191"/>
      <w:bookmarkEnd w:id="192"/>
      <w:bookmarkEnd w:id="193"/>
      <w:bookmarkEnd w:id="194"/>
      <w:bookmarkEnd w:id="195"/>
      <w:bookmarkEnd w:id="196"/>
      <w:r>
        <w:rPr>
          <w:rFonts w:hint="eastAsia" w:ascii="仿宋_GB2312" w:hAnsi="仿宋_GB2312" w:eastAsia="仿宋_GB2312" w:cs="仿宋_GB2312"/>
          <w:b w:val="0"/>
          <w:bCs/>
          <w:i w:val="0"/>
          <w:iCs w:val="0"/>
          <w:caps w:val="0"/>
          <w:color w:val="auto"/>
          <w:spacing w:val="0"/>
          <w:kern w:val="2"/>
          <w:sz w:val="32"/>
          <w:szCs w:val="32"/>
          <w:shd w:val="clear" w:fill="auto"/>
        </w:rPr>
        <w:t>建立健全城镇空间管控协调机制，统筹推进城镇低效用地再开发与城市更新。</w:t>
      </w:r>
      <w:r>
        <w:rPr>
          <w:rFonts w:hint="eastAsia" w:ascii="仿宋_GB2312" w:hAnsi="仿宋_GB2312" w:eastAsia="仿宋_GB2312" w:cs="仿宋_GB2312"/>
          <w:b w:val="0"/>
          <w:bCs/>
          <w:i w:val="0"/>
          <w:iCs w:val="0"/>
          <w:caps w:val="0"/>
          <w:color w:val="auto"/>
          <w:spacing w:val="0"/>
          <w:kern w:val="2"/>
          <w:sz w:val="32"/>
          <w:szCs w:val="32"/>
          <w:shd w:val="clear"/>
        </w:rPr>
        <w:t>本市城镇空间的规划、建设与管理，应当遵循城乡统筹、节约集约、可持续发展，严守城镇开发边界，优化空间结构与功能布局，推动城镇发展由外延扩张向内涵提升转变。</w:t>
      </w:r>
    </w:p>
    <w:p>
      <w:pPr>
        <w:pStyle w:val="14"/>
        <w:pageBreakBefore w:val="0"/>
        <w:widowControl/>
        <w:kinsoku/>
        <w:wordWrap/>
        <w:overflowPunct/>
        <w:topLinePunct w:val="0"/>
        <w:bidi w:val="0"/>
        <w:snapToGrid/>
        <w:spacing w:beforeAutospacing="0" w:afterAutospacing="0" w:line="360" w:lineRule="auto"/>
        <w:ind w:firstLine="62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宋体" w:eastAsia="仿宋_GB2312" w:cs="仿宋_GB2312"/>
          <w:color w:val="auto"/>
          <w:kern w:val="0"/>
          <w:sz w:val="31"/>
          <w:szCs w:val="31"/>
        </w:rPr>
        <w:t>市资源规划主管部门</w:t>
      </w:r>
      <w:r>
        <w:rPr>
          <w:rFonts w:hint="eastAsia" w:ascii="仿宋_GB2312" w:hAnsi="宋体" w:eastAsia="仿宋_GB2312" w:cs="仿宋_GB2312"/>
          <w:color w:val="auto"/>
          <w:kern w:val="0"/>
          <w:sz w:val="31"/>
          <w:szCs w:val="31"/>
          <w:lang w:val="en-US" w:eastAsia="zh-CN"/>
        </w:rPr>
        <w:t>负责城镇开发边界管理，统筹城镇开发边界局部优化。</w:t>
      </w:r>
      <w:r>
        <w:rPr>
          <w:rFonts w:hint="eastAsia" w:ascii="仿宋_GB2312" w:hAnsi="仿宋_GB2312" w:eastAsia="仿宋_GB2312" w:cs="仿宋_GB2312"/>
          <w:color w:val="auto"/>
          <w:kern w:val="2"/>
          <w:sz w:val="32"/>
          <w:szCs w:val="32"/>
        </w:rPr>
        <w:t>除乡村建设用地以及交通、能源、水利、军事、矿山等单独选址项目外，</w:t>
      </w:r>
      <w:r>
        <w:rPr>
          <w:rFonts w:hint="eastAsia" w:ascii="仿宋_GB2312" w:hAnsi="仿宋_GB2312" w:eastAsia="仿宋_GB2312" w:cs="仿宋_GB2312"/>
          <w:color w:val="auto"/>
          <w:kern w:val="2"/>
          <w:sz w:val="32"/>
          <w:szCs w:val="32"/>
          <w:lang w:val="en-US" w:eastAsia="zh-CN"/>
        </w:rPr>
        <w:t>城镇建设用地应优先在城镇开发边界内布局，</w:t>
      </w:r>
      <w:r>
        <w:rPr>
          <w:rFonts w:hint="eastAsia" w:ascii="仿宋_GB2312" w:hAnsi="仿宋_GB2312" w:eastAsia="仿宋_GB2312" w:cs="仿宋_GB2312"/>
          <w:color w:val="auto"/>
          <w:kern w:val="2"/>
          <w:sz w:val="32"/>
          <w:szCs w:val="32"/>
          <w:lang w:eastAsia="zh-CN"/>
        </w:rPr>
        <w:t>允许</w:t>
      </w:r>
      <w:r>
        <w:rPr>
          <w:rFonts w:hint="eastAsia" w:ascii="仿宋_GB2312" w:hAnsi="仿宋_GB2312" w:eastAsia="仿宋_GB2312" w:cs="仿宋_GB2312"/>
          <w:color w:val="auto"/>
          <w:kern w:val="2"/>
          <w:sz w:val="32"/>
          <w:szCs w:val="32"/>
        </w:rPr>
        <w:t>特定选址要求的项目</w:t>
      </w:r>
      <w:r>
        <w:rPr>
          <w:rFonts w:hint="eastAsia" w:ascii="仿宋_GB2312" w:hAnsi="仿宋_GB2312" w:eastAsia="仿宋_GB2312" w:cs="仿宋_GB2312"/>
          <w:color w:val="auto"/>
          <w:kern w:val="2"/>
          <w:sz w:val="32"/>
          <w:szCs w:val="32"/>
          <w:lang w:val="en-US" w:eastAsia="zh-CN"/>
        </w:rPr>
        <w:t>在城镇开发边界外</w:t>
      </w:r>
      <w:r>
        <w:rPr>
          <w:rFonts w:hint="eastAsia" w:ascii="仿宋_GB2312" w:hAnsi="仿宋_GB2312" w:eastAsia="仿宋_GB2312" w:cs="仿宋_GB2312"/>
          <w:color w:val="auto"/>
          <w:kern w:val="2"/>
          <w:sz w:val="32"/>
          <w:szCs w:val="32"/>
        </w:rPr>
        <w:t>布局零星城镇建设用地。</w:t>
      </w:r>
    </w:p>
    <w:p>
      <w:pPr>
        <w:pageBreakBefore w:val="0"/>
        <w:shd w:val="clear" w:color="auto" w:fill="FFFFFF"/>
        <w:kinsoku/>
        <w:wordWrap/>
        <w:overflowPunct/>
        <w:topLinePunct w:val="0"/>
        <w:bidi w:val="0"/>
        <w:snapToGrid/>
        <w:spacing w:line="360" w:lineRule="auto"/>
        <w:ind w:firstLine="620" w:firstLineChars="200"/>
        <w:textAlignment w:val="auto"/>
        <w:rPr>
          <w:rFonts w:ascii="仿宋_GB2312" w:hAnsi="仿宋_GB2312" w:eastAsia="仿宋_GB2312" w:cs="仿宋_GB2312"/>
          <w:color w:val="auto"/>
        </w:rPr>
      </w:pPr>
      <w:r>
        <w:rPr>
          <w:rFonts w:hint="eastAsia" w:ascii="仿宋_GB2312" w:hAnsi="宋体" w:eastAsia="仿宋_GB2312" w:cs="仿宋_GB2312"/>
          <w:color w:val="auto"/>
          <w:kern w:val="0"/>
          <w:sz w:val="31"/>
          <w:szCs w:val="31"/>
        </w:rPr>
        <w:t>市资源规划主管部门会同市工信主管部门根据产业</w:t>
      </w:r>
      <w:r>
        <w:rPr>
          <w:rFonts w:hint="eastAsia" w:ascii="仿宋_GB2312" w:hAnsi="仿宋" w:eastAsia="仿宋_GB2312" w:cs="仿宋"/>
          <w:color w:val="auto"/>
          <w:sz w:val="32"/>
          <w:szCs w:val="32"/>
        </w:rPr>
        <w:t>发展</w:t>
      </w:r>
      <w:r>
        <w:rPr>
          <w:rFonts w:hint="eastAsia" w:ascii="仿宋_GB2312" w:hAnsi="宋体" w:eastAsia="仿宋_GB2312" w:cs="仿宋_GB2312"/>
          <w:color w:val="auto"/>
          <w:kern w:val="0"/>
          <w:sz w:val="31"/>
          <w:szCs w:val="31"/>
        </w:rPr>
        <w:t>要求</w:t>
      </w:r>
      <w:r>
        <w:rPr>
          <w:rFonts w:hint="eastAsia" w:ascii="仿宋_GB2312" w:hAnsi="仿宋" w:eastAsia="仿宋_GB2312" w:cs="仿宋"/>
          <w:color w:val="auto"/>
          <w:sz w:val="32"/>
          <w:szCs w:val="32"/>
        </w:rPr>
        <w:t>划定工业用地控制线</w:t>
      </w:r>
      <w:r>
        <w:rPr>
          <w:rFonts w:hint="eastAsia" w:ascii="仿宋_GB2312" w:hAnsi="宋体" w:eastAsia="仿宋_GB2312" w:cs="仿宋_GB2312"/>
          <w:color w:val="auto"/>
          <w:kern w:val="0"/>
          <w:sz w:val="31"/>
          <w:szCs w:val="31"/>
        </w:rPr>
        <w:t>，报市人民政府批准后实施</w:t>
      </w:r>
      <w:r>
        <w:rPr>
          <w:rFonts w:hint="eastAsia" w:ascii="仿宋_GB2312" w:hAnsi="仿宋" w:eastAsia="仿宋_GB2312" w:cs="仿宋"/>
          <w:color w:val="auto"/>
          <w:sz w:val="32"/>
          <w:szCs w:val="32"/>
        </w:rPr>
        <w:t>。</w:t>
      </w:r>
      <w:r>
        <w:rPr>
          <w:rFonts w:hint="eastAsia" w:ascii="仿宋_GB2312" w:hAnsi="仿宋_GB2312" w:eastAsia="仿宋_GB2312" w:cs="仿宋_GB2312"/>
          <w:color w:val="auto"/>
          <w:kern w:val="0"/>
          <w:sz w:val="32"/>
          <w:szCs w:val="32"/>
          <w:shd w:val="clear" w:color="auto" w:fill="FFFFFF"/>
        </w:rPr>
        <w:t>工业</w:t>
      </w:r>
      <w:r>
        <w:rPr>
          <w:rFonts w:hint="eastAsia" w:ascii="仿宋_GB2312" w:hAnsi="仿宋_GB2312" w:eastAsia="仿宋_GB2312" w:cs="仿宋_GB2312"/>
          <w:color w:val="auto"/>
          <w:kern w:val="0"/>
          <w:sz w:val="32"/>
          <w:szCs w:val="32"/>
          <w:shd w:val="clear" w:color="auto" w:fill="FFFFFF"/>
          <w:lang w:eastAsia="zh-CN"/>
        </w:rPr>
        <w:t>用地</w:t>
      </w:r>
      <w:r>
        <w:rPr>
          <w:rFonts w:hint="eastAsia" w:ascii="仿宋_GB2312" w:hAnsi="仿宋_GB2312" w:eastAsia="仿宋_GB2312" w:cs="仿宋_GB2312"/>
          <w:color w:val="auto"/>
          <w:kern w:val="0"/>
          <w:sz w:val="32"/>
          <w:szCs w:val="32"/>
          <w:shd w:val="clear" w:color="auto" w:fill="FFFFFF"/>
        </w:rPr>
        <w:t>控制线范围可按程序进行优化，</w:t>
      </w:r>
      <w:r>
        <w:rPr>
          <w:rFonts w:hint="eastAsia" w:ascii="仿宋_GB2312" w:hAnsi="宋体" w:eastAsia="仿宋_GB2312" w:cs="仿宋_GB2312"/>
          <w:color w:val="auto"/>
          <w:kern w:val="0"/>
          <w:sz w:val="31"/>
          <w:szCs w:val="31"/>
        </w:rPr>
        <w:t>但不得减少全市工业用地控制线内工业用地面积总量。</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kern w:val="0"/>
          <w:sz w:val="32"/>
          <w:szCs w:val="32"/>
          <w:shd w:val="clear" w:color="auto" w:fill="FFFFFF"/>
        </w:rPr>
      </w:pPr>
      <w:bookmarkStart w:id="197" w:name="_Toc380295095"/>
      <w:bookmarkStart w:id="198" w:name="_Toc2017221486"/>
      <w:bookmarkStart w:id="199" w:name="_Toc1203196034"/>
      <w:bookmarkStart w:id="200" w:name="_Toc452550036"/>
      <w:bookmarkStart w:id="201" w:name="_Toc1057258071"/>
      <w:bookmarkStart w:id="202" w:name="_Toc978185231"/>
      <w:r>
        <w:rPr>
          <w:rFonts w:hint="eastAsia" w:ascii="仿宋_GB2312" w:hAnsi="仿宋_GB2312" w:eastAsia="仿宋_GB2312" w:cs="仿宋_GB2312"/>
          <w:bCs/>
          <w:color w:val="auto"/>
          <w:kern w:val="0"/>
          <w:sz w:val="32"/>
          <w:szCs w:val="32"/>
          <w:shd w:val="clear" w:color="auto" w:fill="FFFFFF"/>
          <w:lang w:eastAsia="zh-CN"/>
        </w:rPr>
        <w:t>第二十六条</w:t>
      </w:r>
      <w:r>
        <w:rPr>
          <w:rFonts w:hint="eastAsia" w:ascii="仿宋_GB2312" w:hAnsi="仿宋_GB2312" w:eastAsia="仿宋_GB2312" w:cs="仿宋_GB2312"/>
          <w:bCs/>
          <w:color w:val="auto"/>
          <w:kern w:val="0"/>
          <w:sz w:val="32"/>
          <w:szCs w:val="32"/>
          <w:shd w:val="clear" w:color="auto" w:fill="FFFFFF"/>
        </w:rPr>
        <w:t>【海域使用管</w:t>
      </w:r>
      <w:r>
        <w:rPr>
          <w:rFonts w:hint="eastAsia" w:ascii="仿宋_GB2312" w:hAnsi="仿宋_GB2312" w:eastAsia="仿宋_GB2312" w:cs="仿宋_GB2312"/>
          <w:bCs/>
          <w:color w:val="auto"/>
          <w:kern w:val="0"/>
          <w:sz w:val="32"/>
          <w:szCs w:val="32"/>
          <w:shd w:val="clear" w:color="auto" w:fill="FFFFFF"/>
          <w:lang w:val="en-US" w:eastAsia="zh-CN"/>
        </w:rPr>
        <w:t>控</w:t>
      </w:r>
      <w:r>
        <w:rPr>
          <w:rFonts w:hint="eastAsia" w:ascii="仿宋_GB2312" w:hAnsi="仿宋_GB2312" w:eastAsia="仿宋_GB2312" w:cs="仿宋_GB2312"/>
          <w:bCs/>
          <w:color w:val="auto"/>
          <w:kern w:val="0"/>
          <w:sz w:val="32"/>
          <w:szCs w:val="32"/>
          <w:shd w:val="clear" w:color="auto" w:fill="FFFFFF"/>
        </w:rPr>
        <w:t>】</w:t>
      </w:r>
      <w:bookmarkEnd w:id="197"/>
      <w:bookmarkEnd w:id="198"/>
      <w:bookmarkEnd w:id="199"/>
      <w:bookmarkEnd w:id="200"/>
      <w:bookmarkEnd w:id="201"/>
      <w:r>
        <w:rPr>
          <w:rFonts w:hint="eastAsia" w:ascii="仿宋_GB2312" w:hAnsi="仿宋_GB2312" w:eastAsia="仿宋_GB2312" w:cs="仿宋_GB2312"/>
          <w:b w:val="0"/>
          <w:bCs/>
          <w:color w:val="auto"/>
          <w:kern w:val="0"/>
          <w:sz w:val="32"/>
          <w:szCs w:val="32"/>
          <w:shd w:val="clear" w:color="auto" w:fill="FFFFFF"/>
          <w:lang w:val="en-US" w:eastAsia="zh-CN"/>
        </w:rPr>
        <w:t>实行</w:t>
      </w:r>
      <w:r>
        <w:rPr>
          <w:rFonts w:hint="eastAsia" w:ascii="仿宋_GB2312" w:hAnsi="仿宋_GB2312" w:eastAsia="仿宋_GB2312" w:cs="仿宋_GB2312"/>
          <w:b w:val="0"/>
          <w:bCs/>
          <w:color w:val="auto"/>
          <w:kern w:val="0"/>
          <w:sz w:val="32"/>
          <w:szCs w:val="32"/>
          <w:shd w:val="clear" w:color="auto" w:fill="FFFFFF"/>
          <w:lang w:val="en-US" w:eastAsia="zh-CN" w:bidi="ar-SA"/>
        </w:rPr>
        <w:t>海岸带综合管理，落实海域分区、岸线和无居民海岛分类保护与利用。</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严格控制改变海域自然属性或者严重影响海洋生态环境的用海项目</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除国家重大项目外，不得新增围海、填海。</w:t>
      </w:r>
    </w:p>
    <w:bookmarkEnd w:id="202"/>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default" w:ascii="仿宋_GB2312" w:hAnsi="Times New Roman" w:eastAsia="仿宋_GB2312" w:cs="仿宋_GB2312"/>
          <w:color w:val="auto"/>
          <w:sz w:val="32"/>
          <w:shd w:val="clear" w:color="auto" w:fill="auto"/>
          <w:lang w:val="en-US" w:eastAsia="zh-CN"/>
        </w:rPr>
      </w:pPr>
      <w:bookmarkStart w:id="203" w:name="_Toc580230178"/>
      <w:bookmarkStart w:id="204" w:name="_Toc495575101"/>
      <w:bookmarkStart w:id="205" w:name="_Toc234362885"/>
      <w:bookmarkStart w:id="206" w:name="_Toc361221970"/>
      <w:bookmarkStart w:id="207" w:name="_Toc1204468752"/>
      <w:bookmarkStart w:id="208" w:name="_Toc1013685885"/>
      <w:r>
        <w:rPr>
          <w:rFonts w:hint="eastAsia" w:ascii="仿宋_GB2312" w:hAnsi="仿宋_GB2312" w:eastAsia="仿宋_GB2312" w:cs="仿宋_GB2312"/>
          <w:color w:val="auto"/>
          <w:shd w:val="clear" w:color="auto" w:fill="auto"/>
          <w:lang w:eastAsia="zh-CN"/>
        </w:rPr>
        <w:t>第二十七条</w:t>
      </w:r>
      <w:r>
        <w:rPr>
          <w:rFonts w:hint="eastAsia" w:ascii="仿宋_GB2312" w:hAnsi="仿宋_GB2312" w:eastAsia="仿宋_GB2312" w:cs="仿宋_GB2312"/>
          <w:color w:val="auto"/>
          <w:shd w:val="clear" w:color="auto" w:fill="auto"/>
        </w:rPr>
        <w:t>【历史文化保护传承】</w:t>
      </w:r>
      <w:bookmarkEnd w:id="203"/>
      <w:bookmarkEnd w:id="204"/>
      <w:bookmarkEnd w:id="205"/>
      <w:bookmarkEnd w:id="206"/>
      <w:bookmarkEnd w:id="207"/>
      <w:bookmarkEnd w:id="208"/>
      <w:bookmarkStart w:id="209" w:name="OLE_LINK16"/>
      <w:r>
        <w:rPr>
          <w:rFonts w:hint="eastAsia" w:ascii="仿宋_GB2312" w:hAnsi="Times New Roman" w:eastAsia="仿宋_GB2312" w:cs="仿宋_GB2312"/>
          <w:b w:val="0"/>
          <w:bCs/>
          <w:color w:val="auto"/>
          <w:sz w:val="32"/>
          <w:shd w:val="clear" w:color="auto" w:fill="auto"/>
        </w:rPr>
        <w:t>建立厦门历史文化名城保护名录制度，加强历史文化资源传承保护，</w:t>
      </w:r>
      <w:r>
        <w:rPr>
          <w:rFonts w:hint="eastAsia" w:ascii="仿宋_GB2312" w:hAnsi="Times New Roman" w:eastAsia="仿宋_GB2312" w:cs="仿宋_GB2312"/>
          <w:b w:val="0"/>
          <w:bCs/>
          <w:color w:val="auto"/>
          <w:sz w:val="32"/>
          <w:shd w:val="clear" w:color="auto" w:fill="auto"/>
          <w:lang w:val="en-US" w:eastAsia="zh-CN"/>
        </w:rPr>
        <w:t>市资源规划主管部门应当会同相关主管部门</w:t>
      </w:r>
      <w:r>
        <w:rPr>
          <w:rFonts w:hint="eastAsia" w:ascii="仿宋_GB2312" w:hAnsi="Times New Roman" w:eastAsia="仿宋_GB2312" w:cs="仿宋_GB2312"/>
          <w:b w:val="0"/>
          <w:bCs/>
          <w:color w:val="auto"/>
          <w:sz w:val="32"/>
          <w:shd w:val="clear" w:color="auto" w:fill="auto"/>
        </w:rPr>
        <w:t>编制</w:t>
      </w:r>
      <w:r>
        <w:rPr>
          <w:rFonts w:hint="eastAsia" w:ascii="仿宋_GB2312" w:hAnsi="Times New Roman" w:eastAsia="仿宋_GB2312" w:cs="仿宋_GB2312"/>
          <w:b w:val="0"/>
          <w:bCs/>
          <w:color w:val="auto"/>
          <w:sz w:val="32"/>
          <w:shd w:val="clear" w:color="auto" w:fill="auto"/>
          <w:lang w:val="en-US" w:eastAsia="zh-CN"/>
        </w:rPr>
        <w:t>保护对象</w:t>
      </w:r>
      <w:r>
        <w:rPr>
          <w:rFonts w:hint="eastAsia" w:ascii="仿宋_GB2312" w:hAnsi="Times New Roman" w:eastAsia="仿宋_GB2312" w:cs="仿宋_GB2312"/>
          <w:b w:val="0"/>
          <w:bCs/>
          <w:color w:val="auto"/>
          <w:sz w:val="32"/>
          <w:shd w:val="clear" w:color="auto" w:fill="auto"/>
        </w:rPr>
        <w:t>保护规划、保护图则、保护方案等</w:t>
      </w:r>
      <w:r>
        <w:rPr>
          <w:rFonts w:hint="eastAsia" w:ascii="仿宋_GB2312" w:hAnsi="Times New Roman" w:eastAsia="仿宋_GB2312" w:cs="仿宋_GB2312"/>
          <w:b w:val="0"/>
          <w:bCs/>
          <w:color w:val="auto"/>
          <w:sz w:val="32"/>
          <w:shd w:val="clear" w:color="auto" w:fill="auto"/>
          <w:lang w:eastAsia="zh-CN"/>
        </w:rPr>
        <w:t>，</w:t>
      </w:r>
      <w:r>
        <w:rPr>
          <w:rFonts w:hint="eastAsia" w:ascii="仿宋_GB2312" w:hAnsi="Times New Roman" w:eastAsia="仿宋_GB2312" w:cs="仿宋_GB2312"/>
          <w:b w:val="0"/>
          <w:bCs/>
          <w:color w:val="auto"/>
          <w:sz w:val="32"/>
          <w:shd w:val="clear" w:color="auto" w:fill="auto"/>
          <w:lang w:val="en-US" w:eastAsia="zh-CN"/>
        </w:rPr>
        <w:t>并纳入</w:t>
      </w:r>
      <w:r>
        <w:rPr>
          <w:rFonts w:hint="eastAsia" w:ascii="仿宋_GB2312" w:hAnsi="Times New Roman" w:eastAsia="仿宋_GB2312" w:cs="仿宋_GB2312"/>
          <w:b w:val="0"/>
          <w:bCs/>
          <w:color w:val="auto"/>
          <w:sz w:val="32"/>
          <w:shd w:val="clear" w:color="auto" w:fill="auto"/>
        </w:rPr>
        <w:t>同级国土空间规划。</w:t>
      </w:r>
      <w:bookmarkStart w:id="210" w:name="OLE_LINK13"/>
      <w:r>
        <w:rPr>
          <w:rFonts w:hint="eastAsia" w:ascii="仿宋_GB2312" w:hAnsi="Times New Roman" w:eastAsia="仿宋_GB2312" w:cs="仿宋_GB2312"/>
          <w:b w:val="0"/>
          <w:bCs/>
          <w:color w:val="auto"/>
          <w:sz w:val="32"/>
          <w:shd w:val="clear" w:color="auto" w:fill="auto"/>
          <w:lang w:val="en-US" w:eastAsia="zh-CN"/>
        </w:rPr>
        <w:t>涉及文物保护工作的，依照法律法规执行。</w:t>
      </w:r>
    </w:p>
    <w:bookmarkEnd w:id="209"/>
    <w:bookmarkEnd w:id="210"/>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rPr>
      </w:pPr>
      <w:bookmarkStart w:id="211" w:name="_Toc742162345"/>
      <w:bookmarkStart w:id="212" w:name="_Toc171220336"/>
      <w:bookmarkStart w:id="213" w:name="_Toc2050389338"/>
      <w:bookmarkStart w:id="214" w:name="_Toc1501985444"/>
      <w:bookmarkStart w:id="215" w:name="_Toc178586770"/>
      <w:bookmarkStart w:id="216" w:name="_Toc128411678"/>
      <w:r>
        <w:rPr>
          <w:rFonts w:hint="eastAsia" w:ascii="仿宋_GB2312" w:hAnsi="仿宋_GB2312" w:eastAsia="仿宋_GB2312" w:cs="仿宋_GB2312"/>
          <w:color w:val="auto"/>
          <w:shd w:val="clear" w:color="auto" w:fill="auto"/>
          <w:lang w:eastAsia="zh-CN"/>
        </w:rPr>
        <w:t>第二十八条</w:t>
      </w:r>
      <w:r>
        <w:rPr>
          <w:rFonts w:hint="eastAsia" w:ascii="仿宋_GB2312" w:hAnsi="仿宋_GB2312" w:eastAsia="仿宋_GB2312" w:cs="仿宋_GB2312"/>
          <w:color w:val="auto"/>
          <w:shd w:val="clear" w:color="auto" w:fill="auto"/>
        </w:rPr>
        <w:t>【城市景观风貌管控】</w:t>
      </w:r>
      <w:bookmarkEnd w:id="211"/>
      <w:bookmarkEnd w:id="212"/>
      <w:bookmarkEnd w:id="213"/>
      <w:bookmarkEnd w:id="214"/>
      <w:bookmarkEnd w:id="215"/>
      <w:bookmarkEnd w:id="216"/>
      <w:bookmarkStart w:id="217" w:name="OLE_LINK17"/>
      <w:bookmarkStart w:id="218" w:name="_Toc76199480"/>
      <w:r>
        <w:rPr>
          <w:rFonts w:hint="eastAsia" w:ascii="仿宋_GB2312" w:hAnsi="仿宋_GB2312" w:eastAsia="仿宋_GB2312" w:cs="仿宋_GB2312"/>
          <w:b w:val="0"/>
          <w:bCs/>
          <w:color w:val="auto"/>
          <w:sz w:val="32"/>
          <w:szCs w:val="32"/>
        </w:rPr>
        <w:t>保护与塑造“山海相融、城海相依”的城市景观风貌，</w:t>
      </w:r>
      <w:r>
        <w:rPr>
          <w:rFonts w:hint="eastAsia" w:ascii="仿宋_GB2312" w:hAnsi="Times New Roman" w:eastAsia="仿宋_GB2312" w:cs="仿宋_GB2312"/>
          <w:b w:val="0"/>
          <w:bCs/>
          <w:color w:val="auto"/>
          <w:sz w:val="32"/>
        </w:rPr>
        <w:t>市资源规划主管部门</w:t>
      </w:r>
      <w:r>
        <w:rPr>
          <w:rFonts w:hint="eastAsia" w:ascii="仿宋_GB2312" w:hAnsi="仿宋_GB2312" w:eastAsia="仿宋_GB2312" w:cs="仿宋_GB2312"/>
          <w:b w:val="0"/>
          <w:bCs/>
          <w:color w:val="auto"/>
          <w:sz w:val="32"/>
          <w:szCs w:val="32"/>
        </w:rPr>
        <w:t>应当加强对城市风貌的规划设计和控制引导，从整体平面和立体空间上统筹城市空间布局。</w:t>
      </w:r>
    </w:p>
    <w:p>
      <w:pPr>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对环湾片区、山海通廊等景观敏感地区、城市主干道和快速路沿线以及城市重要节点，应当编制城市设计图则并纳入详细规划</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建设用地规划条件</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w:t>
      </w:r>
    </w:p>
    <w:bookmarkEnd w:id="217"/>
    <w:bookmarkEnd w:id="218"/>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default" w:ascii="仿宋_GB2312" w:hAnsi="仿宋_GB2312" w:eastAsia="仿宋_GB2312" w:cs="仿宋_GB2312"/>
          <w:color w:val="auto"/>
          <w:sz w:val="32"/>
          <w:szCs w:val="32"/>
          <w:shd w:val="clear" w:color="auto" w:fill="auto"/>
          <w:lang w:val="en-US"/>
        </w:rPr>
      </w:pPr>
      <w:bookmarkStart w:id="219" w:name="_Toc716575680"/>
      <w:bookmarkStart w:id="220" w:name="_Toc1278632952"/>
      <w:bookmarkStart w:id="221" w:name="_Toc924394770"/>
      <w:bookmarkStart w:id="222" w:name="_Toc1744054054"/>
      <w:bookmarkStart w:id="223" w:name="_Toc1200519651"/>
      <w:bookmarkStart w:id="224" w:name="_Toc1151033217"/>
      <w:r>
        <w:rPr>
          <w:rFonts w:hint="eastAsia" w:ascii="仿宋_GB2312" w:hAnsi="仿宋_GB2312" w:eastAsia="仿宋_GB2312" w:cs="仿宋_GB2312"/>
          <w:color w:val="auto"/>
          <w:shd w:val="clear" w:color="auto" w:fill="auto"/>
          <w:lang w:eastAsia="zh-CN"/>
        </w:rPr>
        <w:t>第二十九条</w:t>
      </w:r>
      <w:r>
        <w:rPr>
          <w:rFonts w:hint="eastAsia" w:ascii="仿宋_GB2312" w:hAnsi="仿宋_GB2312" w:eastAsia="仿宋_GB2312" w:cs="仿宋_GB2312"/>
          <w:color w:val="auto"/>
          <w:shd w:val="clear" w:color="auto" w:fill="auto"/>
        </w:rPr>
        <w:t>【立体空间开发管控】</w:t>
      </w:r>
      <w:bookmarkEnd w:id="219"/>
      <w:bookmarkEnd w:id="220"/>
      <w:bookmarkEnd w:id="221"/>
      <w:bookmarkEnd w:id="222"/>
      <w:bookmarkEnd w:id="223"/>
      <w:bookmarkEnd w:id="224"/>
      <w:bookmarkStart w:id="225" w:name="OLE_LINK19"/>
      <w:r>
        <w:rPr>
          <w:rFonts w:hint="eastAsia" w:ascii="仿宋_GB2312" w:hAnsi="仿宋_GB2312" w:eastAsia="仿宋_GB2312" w:cs="仿宋_GB2312"/>
          <w:b w:val="0"/>
          <w:bCs/>
          <w:color w:val="auto"/>
          <w:sz w:val="32"/>
          <w:szCs w:val="32"/>
          <w:shd w:val="clear" w:color="auto" w:fill="auto"/>
        </w:rPr>
        <w:t>市</w:t>
      </w:r>
      <w:r>
        <w:rPr>
          <w:rFonts w:hint="eastAsia" w:ascii="仿宋_GB2312" w:hAnsi="仿宋_GB2312" w:eastAsia="仿宋_GB2312" w:cs="仿宋_GB2312"/>
          <w:b w:val="0"/>
          <w:bCs/>
          <w:color w:val="auto"/>
          <w:sz w:val="32"/>
          <w:szCs w:val="32"/>
          <w:shd w:val="clear" w:color="auto" w:fill="auto"/>
          <w:lang w:eastAsia="zh-CN"/>
        </w:rPr>
        <w:t>资源</w:t>
      </w:r>
      <w:r>
        <w:rPr>
          <w:rFonts w:hint="eastAsia" w:ascii="仿宋_GB2312" w:hAnsi="仿宋_GB2312" w:eastAsia="仿宋_GB2312" w:cs="仿宋_GB2312"/>
          <w:b w:val="0"/>
          <w:bCs/>
          <w:color w:val="auto"/>
          <w:sz w:val="32"/>
          <w:szCs w:val="32"/>
          <w:shd w:val="clear" w:color="auto" w:fill="auto"/>
        </w:rPr>
        <w:t>规划主管部门会同行业主管部门统筹陆域、海域空间立体资源保护开发利用。</w:t>
      </w:r>
      <w:r>
        <w:rPr>
          <w:rFonts w:hint="eastAsia" w:ascii="仿宋_GB2312" w:hAnsi="仿宋_GB2312" w:eastAsia="仿宋_GB2312" w:cs="仿宋_GB2312"/>
          <w:b w:val="0"/>
          <w:bCs/>
          <w:color w:val="auto"/>
          <w:sz w:val="32"/>
          <w:szCs w:val="32"/>
          <w:shd w:val="clear" w:color="auto" w:fill="auto"/>
          <w:lang w:val="en-US" w:eastAsia="zh-CN"/>
        </w:rPr>
        <w:t>支持建设用地使用权和海域使用权分层设权，</w:t>
      </w:r>
      <w:r>
        <w:rPr>
          <w:rFonts w:hint="eastAsia" w:ascii="仿宋_GB2312" w:hAnsi="仿宋_GB2312" w:eastAsia="仿宋_GB2312" w:cs="仿宋_GB2312"/>
          <w:b w:val="0"/>
          <w:bCs/>
          <w:color w:val="auto"/>
          <w:sz w:val="32"/>
          <w:szCs w:val="32"/>
          <w:shd w:val="clear" w:color="auto" w:fill="auto"/>
        </w:rPr>
        <w:t>地上地下空间复合利用综合立体开发</w:t>
      </w:r>
      <w:r>
        <w:rPr>
          <w:rFonts w:hint="eastAsia" w:ascii="仿宋_GB2312" w:hAnsi="仿宋_GB2312" w:eastAsia="仿宋_GB2312" w:cs="仿宋_GB2312"/>
          <w:b w:val="0"/>
          <w:bCs/>
          <w:color w:val="auto"/>
          <w:sz w:val="32"/>
          <w:szCs w:val="32"/>
          <w:shd w:val="clear" w:color="auto" w:fill="auto"/>
          <w:lang w:eastAsia="zh-CN"/>
        </w:rPr>
        <w:t>。</w:t>
      </w:r>
    </w:p>
    <w:bookmarkEnd w:id="225"/>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lang w:bidi="ar"/>
        </w:rPr>
      </w:pPr>
      <w:bookmarkStart w:id="226" w:name="_Toc876271806"/>
      <w:bookmarkStart w:id="227" w:name="_Toc1951528509"/>
      <w:bookmarkStart w:id="228" w:name="_Toc1857403569"/>
      <w:bookmarkStart w:id="229" w:name="_Toc1428051356"/>
      <w:bookmarkStart w:id="230" w:name="_Toc1921187863"/>
      <w:bookmarkStart w:id="231" w:name="_Toc1514919551"/>
      <w:r>
        <w:rPr>
          <w:rFonts w:hint="eastAsia" w:ascii="仿宋_GB2312" w:hAnsi="仿宋_GB2312" w:eastAsia="仿宋_GB2312" w:cs="仿宋_GB2312"/>
          <w:color w:val="auto"/>
          <w:lang w:eastAsia="zh-CN"/>
        </w:rPr>
        <w:t>第三十条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全域土地综合整治</w:t>
      </w:r>
      <w:r>
        <w:rPr>
          <w:rFonts w:hint="eastAsia" w:ascii="仿宋_GB2312" w:hAnsi="仿宋_GB2312" w:eastAsia="仿宋_GB2312" w:cs="仿宋_GB2312"/>
          <w:color w:val="auto"/>
        </w:rPr>
        <w:t>】</w:t>
      </w:r>
      <w:bookmarkEnd w:id="226"/>
      <w:bookmarkEnd w:id="227"/>
      <w:bookmarkEnd w:id="228"/>
      <w:bookmarkEnd w:id="229"/>
      <w:bookmarkEnd w:id="230"/>
      <w:bookmarkEnd w:id="231"/>
      <w:r>
        <w:rPr>
          <w:rFonts w:hint="eastAsia" w:ascii="仿宋_GB2312" w:hAnsi="Times New Roman" w:eastAsia="仿宋_GB2312" w:cs="仿宋_GB2312"/>
          <w:b w:val="0"/>
          <w:bCs w:val="0"/>
          <w:color w:val="auto"/>
          <w:kern w:val="2"/>
          <w:sz w:val="32"/>
          <w:szCs w:val="24"/>
          <w:shd w:val="clear" w:color="auto" w:fill="auto"/>
          <w:lang w:val="en-US" w:eastAsia="zh-CN" w:bidi="ar-SA"/>
        </w:rPr>
        <w:t>以国土空间总体规划为依据，原则上以镇（街）为实施单元，区人民政府、镇人民政府（街道办事处）组织编制全域土地综</w:t>
      </w:r>
      <w:r>
        <w:rPr>
          <w:rFonts w:hint="eastAsia" w:ascii="仿宋_GB2312" w:hAnsi="Times New Roman" w:eastAsia="仿宋_GB2312" w:cs="仿宋_GB2312"/>
          <w:b w:val="0"/>
          <w:bCs w:val="0"/>
          <w:color w:val="auto"/>
          <w:sz w:val="32"/>
          <w:szCs w:val="24"/>
          <w:shd w:val="clear" w:color="auto" w:fill="auto"/>
        </w:rPr>
        <w:t>合整治实施方案，统筹</w:t>
      </w:r>
      <w:r>
        <w:rPr>
          <w:rFonts w:hint="eastAsia" w:ascii="仿宋_GB2312" w:hAnsi="Times New Roman" w:eastAsia="仿宋_GB2312" w:cs="仿宋_GB2312"/>
          <w:b w:val="0"/>
          <w:bCs w:val="0"/>
          <w:color w:val="auto"/>
          <w:sz w:val="32"/>
          <w:szCs w:val="24"/>
          <w:shd w:val="clear" w:color="auto" w:fill="auto"/>
          <w:lang w:eastAsia="zh-CN"/>
        </w:rPr>
        <w:t>推进</w:t>
      </w:r>
      <w:r>
        <w:rPr>
          <w:rFonts w:hint="eastAsia" w:ascii="仿宋_GB2312" w:hAnsi="Times New Roman" w:eastAsia="仿宋_GB2312" w:cs="仿宋_GB2312"/>
          <w:b w:val="0"/>
          <w:bCs w:val="0"/>
          <w:color w:val="auto"/>
          <w:sz w:val="32"/>
          <w:szCs w:val="24"/>
          <w:shd w:val="clear" w:color="auto" w:fill="auto"/>
        </w:rPr>
        <w:t>农用地</w:t>
      </w:r>
      <w:r>
        <w:rPr>
          <w:rFonts w:hint="eastAsia" w:ascii="仿宋_GB2312" w:hAnsi="Times New Roman" w:eastAsia="仿宋_GB2312" w:cs="仿宋_GB2312"/>
          <w:b w:val="0"/>
          <w:bCs w:val="0"/>
          <w:color w:val="auto"/>
          <w:sz w:val="32"/>
          <w:szCs w:val="24"/>
          <w:shd w:val="clear" w:color="auto" w:fill="auto"/>
          <w:lang w:eastAsia="zh-CN"/>
        </w:rPr>
        <w:t>整治</w:t>
      </w:r>
      <w:r>
        <w:rPr>
          <w:rFonts w:hint="eastAsia" w:ascii="仿宋_GB2312" w:hAnsi="Times New Roman" w:eastAsia="仿宋_GB2312" w:cs="仿宋_GB2312"/>
          <w:b w:val="0"/>
          <w:bCs w:val="0"/>
          <w:color w:val="auto"/>
          <w:sz w:val="32"/>
          <w:szCs w:val="24"/>
          <w:shd w:val="clear" w:color="auto" w:fill="auto"/>
        </w:rPr>
        <w:t>、建设用地整理</w:t>
      </w:r>
      <w:r>
        <w:rPr>
          <w:rFonts w:hint="eastAsia" w:ascii="仿宋_GB2312" w:hAnsi="Times New Roman" w:eastAsia="仿宋_GB2312" w:cs="仿宋_GB2312"/>
          <w:b w:val="0"/>
          <w:bCs w:val="0"/>
          <w:color w:val="auto"/>
          <w:sz w:val="32"/>
          <w:szCs w:val="24"/>
          <w:shd w:val="clear" w:color="auto" w:fill="auto"/>
          <w:lang w:eastAsia="zh-CN"/>
        </w:rPr>
        <w:t>和</w:t>
      </w:r>
      <w:r>
        <w:rPr>
          <w:rFonts w:hint="eastAsia" w:ascii="仿宋_GB2312" w:hAnsi="Times New Roman" w:eastAsia="仿宋_GB2312" w:cs="仿宋_GB2312"/>
          <w:b w:val="0"/>
          <w:bCs w:val="0"/>
          <w:color w:val="auto"/>
          <w:sz w:val="32"/>
          <w:szCs w:val="24"/>
          <w:shd w:val="clear" w:color="auto" w:fill="auto"/>
        </w:rPr>
        <w:t>生态保护修复等</w:t>
      </w:r>
      <w:r>
        <w:rPr>
          <w:rFonts w:hint="eastAsia" w:ascii="仿宋_GB2312" w:hAnsi="Times New Roman" w:eastAsia="仿宋_GB2312" w:cs="仿宋_GB2312"/>
          <w:b w:val="0"/>
          <w:bCs w:val="0"/>
          <w:color w:val="auto"/>
          <w:kern w:val="2"/>
          <w:sz w:val="32"/>
          <w:szCs w:val="24"/>
          <w:shd w:val="clear" w:color="auto" w:fill="auto"/>
          <w:lang w:val="en-US" w:eastAsia="zh-CN" w:bidi="ar-SA"/>
        </w:rPr>
        <w:t>，</w:t>
      </w:r>
      <w:r>
        <w:rPr>
          <w:rFonts w:hint="eastAsia" w:ascii="仿宋_GB2312" w:hAnsi="仿宋_GB2312" w:eastAsia="仿宋_GB2312" w:cs="仿宋_GB2312"/>
          <w:b w:val="0"/>
          <w:bCs w:val="0"/>
          <w:i w:val="0"/>
          <w:iCs w:val="0"/>
          <w:caps w:val="0"/>
          <w:color w:val="auto"/>
          <w:spacing w:val="0"/>
          <w:sz w:val="32"/>
          <w:szCs w:val="32"/>
          <w:shd w:val="clear" w:fill="FFFFFF"/>
          <w:lang w:bidi="ar"/>
        </w:rPr>
        <w:t>促进国土空间布局优化、产业聚集发展。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kern w:val="0"/>
          <w:sz w:val="32"/>
          <w:szCs w:val="32"/>
          <w:shd w:val="clear" w:color="auto" w:fill="FFFFFF"/>
        </w:rPr>
      </w:pPr>
      <w:bookmarkStart w:id="232" w:name="_Toc1563646073"/>
      <w:bookmarkStart w:id="233" w:name="_Toc880278061"/>
      <w:bookmarkStart w:id="234" w:name="_Toc1198319053"/>
      <w:bookmarkStart w:id="235" w:name="_Toc1699207540"/>
      <w:bookmarkStart w:id="236" w:name="_Toc1864422899"/>
      <w:bookmarkStart w:id="237" w:name="_Toc426694320"/>
      <w:r>
        <w:rPr>
          <w:rFonts w:hint="eastAsia" w:ascii="仿宋_GB2312" w:hAnsi="仿宋_GB2312" w:eastAsia="仿宋_GB2312" w:cs="仿宋_GB2312"/>
          <w:color w:val="auto"/>
          <w:lang w:eastAsia="zh-CN"/>
        </w:rPr>
        <w:t>第三十一条</w:t>
      </w:r>
      <w:r>
        <w:rPr>
          <w:rFonts w:hint="eastAsia" w:ascii="仿宋_GB2312" w:hAnsi="仿宋_GB2312" w:eastAsia="仿宋_GB2312" w:cs="仿宋_GB2312"/>
          <w:color w:val="auto"/>
        </w:rPr>
        <w:t>【生态保护修复】</w:t>
      </w:r>
      <w:bookmarkEnd w:id="232"/>
      <w:bookmarkEnd w:id="233"/>
      <w:bookmarkEnd w:id="234"/>
      <w:bookmarkEnd w:id="235"/>
      <w:bookmarkEnd w:id="236"/>
      <w:bookmarkEnd w:id="237"/>
      <w:r>
        <w:rPr>
          <w:rFonts w:hint="eastAsia" w:ascii="仿宋_GB2312" w:hAnsi="仿宋_GB2312" w:eastAsia="仿宋_GB2312" w:cs="仿宋_GB2312"/>
          <w:b w:val="0"/>
          <w:bCs/>
          <w:color w:val="auto"/>
          <w:kern w:val="0"/>
          <w:sz w:val="32"/>
          <w:szCs w:val="32"/>
          <w:shd w:val="clear" w:color="auto" w:fill="FFFFFF"/>
        </w:rPr>
        <w:t>市资源规划主管部门负责组织编制全市国土空间生态修复专项规划和行动计划，建立生态修复项目管理制度，完善生态修复工程涉及用地（林、草）用海审批程序，统筹山水林田湖草沙一体化保护和系统治理。</w:t>
      </w:r>
    </w:p>
    <w:p>
      <w:pPr>
        <w:pageBreakBefore w:val="0"/>
        <w:shd w:val="clear" w:color="auto" w:fill="FFFFFF"/>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森林、流域、湿地、海洋、矿山等行业主管部门及各区</w:t>
      </w:r>
      <w:r>
        <w:rPr>
          <w:rFonts w:hint="eastAsia" w:ascii="仿宋_GB2312" w:hAnsi="仿宋_GB2312" w:eastAsia="仿宋_GB2312" w:cs="仿宋_GB2312"/>
          <w:color w:val="auto"/>
          <w:kern w:val="0"/>
          <w:sz w:val="32"/>
          <w:szCs w:val="32"/>
          <w:shd w:val="clear" w:color="auto" w:fill="FFFFFF"/>
          <w:lang w:val="en-US" w:eastAsia="zh-CN"/>
        </w:rPr>
        <w:t>人民</w:t>
      </w:r>
      <w:r>
        <w:rPr>
          <w:rFonts w:hint="eastAsia" w:ascii="仿宋_GB2312" w:hAnsi="仿宋_GB2312" w:eastAsia="仿宋_GB2312" w:cs="仿宋_GB2312"/>
          <w:color w:val="auto"/>
          <w:kern w:val="0"/>
          <w:sz w:val="32"/>
          <w:szCs w:val="32"/>
          <w:shd w:val="clear" w:color="auto" w:fill="FFFFFF"/>
        </w:rPr>
        <w:t>政府依据生态修复相关规划，按照各自职责开展生态保护修复工作</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行业主管部门应</w:t>
      </w:r>
      <w:r>
        <w:rPr>
          <w:rFonts w:hint="eastAsia" w:ascii="仿宋_GB2312" w:hAnsi="仿宋_GB2312" w:eastAsia="仿宋_GB2312" w:cs="仿宋_GB2312"/>
          <w:color w:val="auto"/>
          <w:kern w:val="0"/>
          <w:sz w:val="32"/>
          <w:szCs w:val="32"/>
          <w:shd w:val="clear" w:color="auto" w:fill="FFFFFF"/>
        </w:rPr>
        <w:t>加</w:t>
      </w:r>
      <w:r>
        <w:rPr>
          <w:rFonts w:hint="eastAsia" w:ascii="仿宋_GB2312" w:hAnsi="仿宋_GB2312" w:eastAsia="仿宋_GB2312" w:cs="仿宋_GB2312"/>
          <w:color w:val="auto"/>
          <w:kern w:val="0"/>
          <w:sz w:val="32"/>
          <w:szCs w:val="32"/>
          <w:shd w:val="clear" w:color="auto" w:fill="FFFFFF"/>
          <w:lang w:eastAsia="zh-CN"/>
        </w:rPr>
        <w:t>强对</w:t>
      </w:r>
      <w:r>
        <w:rPr>
          <w:rFonts w:hint="eastAsia" w:ascii="仿宋_GB2312" w:hAnsi="仿宋_GB2312" w:eastAsia="仿宋_GB2312" w:cs="仿宋_GB2312"/>
          <w:color w:val="auto"/>
          <w:kern w:val="0"/>
          <w:sz w:val="32"/>
          <w:szCs w:val="32"/>
          <w:shd w:val="clear" w:color="auto" w:fill="FFFFFF"/>
        </w:rPr>
        <w:t>本行业生态修复项目的技术指导和监督管理。</w:t>
      </w:r>
    </w:p>
    <w:p>
      <w:pPr>
        <w:pStyle w:val="20"/>
        <w:pageBreakBefore w:val="0"/>
        <w:kinsoku/>
        <w:wordWrap/>
        <w:overflowPunct/>
        <w:topLinePunct w:val="0"/>
        <w:bidi w:val="0"/>
        <w:snapToGrid/>
        <w:spacing w:line="360" w:lineRule="auto"/>
        <w:ind w:right="-99" w:firstLine="640"/>
        <w:textAlignment w:val="auto"/>
        <w:rPr>
          <w:rFonts w:hint="eastAsia" w:ascii="仿宋_GB2312" w:hAnsi="仿宋_GB2312" w:eastAsia="仿宋_GB2312" w:cs="仿宋_GB2312"/>
          <w:bCs w:val="0"/>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rPr>
        <w:t>市资源规划主管部门</w:t>
      </w:r>
      <w:r>
        <w:rPr>
          <w:rFonts w:hint="eastAsia" w:ascii="仿宋_GB2312" w:hAnsi="仿宋_GB2312" w:eastAsia="仿宋_GB2312" w:cs="仿宋_GB2312"/>
          <w:color w:val="auto"/>
          <w:kern w:val="0"/>
          <w:sz w:val="32"/>
          <w:szCs w:val="32"/>
          <w:shd w:val="clear" w:color="auto" w:fill="FFFFFF"/>
          <w:lang w:val="en-US" w:eastAsia="zh-CN"/>
        </w:rPr>
        <w:t>应当</w:t>
      </w:r>
      <w:r>
        <w:rPr>
          <w:rFonts w:hint="eastAsia" w:ascii="仿宋_GB2312" w:hAnsi="仿宋_GB2312" w:eastAsia="仿宋_GB2312" w:cs="仿宋_GB2312"/>
          <w:bCs w:val="0"/>
          <w:color w:val="auto"/>
          <w:kern w:val="0"/>
          <w:sz w:val="32"/>
          <w:szCs w:val="32"/>
          <w:shd w:val="clear" w:color="auto" w:fill="FFFFFF"/>
          <w:lang w:val="en-US" w:eastAsia="zh-CN" w:bidi="ar-SA"/>
        </w:rPr>
        <w:t>建立自然岸线占用与修复平衡制度，严格保护自然岸线，对海洋以及海岸带整治修复进行系统修复、综合整治。新增围填海项目要同步强化生态保护修复，最大程度避免降低生态系统服务功能。</w:t>
      </w:r>
    </w:p>
    <w:p>
      <w:pPr>
        <w:pStyle w:val="20"/>
        <w:pageBreakBefore w:val="0"/>
        <w:kinsoku/>
        <w:wordWrap/>
        <w:overflowPunct/>
        <w:topLinePunct w:val="0"/>
        <w:bidi w:val="0"/>
        <w:snapToGrid/>
        <w:spacing w:line="360" w:lineRule="auto"/>
        <w:ind w:right="-99" w:firstLine="640"/>
        <w:textAlignment w:val="auto"/>
        <w:rPr>
          <w:rFonts w:hint="eastAsia" w:ascii="仿宋_GB2312" w:hAnsi="仿宋_GB2312" w:eastAsia="仿宋_GB2312" w:cs="仿宋_GB2312"/>
          <w:bCs w:val="0"/>
          <w:color w:val="auto"/>
          <w:kern w:val="0"/>
          <w:sz w:val="32"/>
          <w:szCs w:val="32"/>
          <w:shd w:val="clear" w:color="auto" w:fill="FFFFFF"/>
          <w:lang w:val="en-US" w:eastAsia="zh-CN" w:bidi="ar-SA"/>
        </w:rPr>
      </w:pPr>
    </w:p>
    <w:p>
      <w:pPr>
        <w:pStyle w:val="3"/>
        <w:keepNext w:val="0"/>
        <w:keepLines w:val="0"/>
        <w:pageBreakBefore w:val="0"/>
        <w:numPr>
          <w:ilvl w:val="0"/>
          <w:numId w:val="1"/>
        </w:numPr>
        <w:kinsoku/>
        <w:wordWrap/>
        <w:overflowPunct/>
        <w:topLinePunct w:val="0"/>
        <w:bidi w:val="0"/>
        <w:snapToGrid/>
        <w:spacing w:before="0" w:after="0" w:line="360" w:lineRule="auto"/>
        <w:jc w:val="center"/>
        <w:textAlignment w:val="auto"/>
        <w:rPr>
          <w:b w:val="0"/>
          <w:bCs/>
          <w:color w:val="auto"/>
        </w:rPr>
      </w:pPr>
      <w:bookmarkStart w:id="238" w:name="_Toc282157550"/>
      <w:bookmarkStart w:id="239" w:name="_Toc1903592893"/>
      <w:bookmarkStart w:id="240" w:name="_Toc105720030"/>
      <w:bookmarkStart w:id="241" w:name="_Toc1390203162"/>
      <w:bookmarkStart w:id="242" w:name="_Toc210845615"/>
      <w:bookmarkStart w:id="243" w:name="_Toc1809095218"/>
      <w:r>
        <w:rPr>
          <w:rFonts w:hint="eastAsia"/>
          <w:b w:val="0"/>
          <w:bCs/>
          <w:color w:val="auto"/>
        </w:rPr>
        <w:t>国土空间规划实施</w:t>
      </w:r>
      <w:bookmarkEnd w:id="238"/>
      <w:bookmarkEnd w:id="239"/>
      <w:bookmarkEnd w:id="240"/>
      <w:bookmarkEnd w:id="241"/>
      <w:bookmarkEnd w:id="242"/>
      <w:bookmarkEnd w:id="243"/>
    </w:p>
    <w:p>
      <w:pPr>
        <w:pageBreakBefore w:val="0"/>
        <w:kinsoku/>
        <w:wordWrap/>
        <w:overflowPunct/>
        <w:topLinePunct w:val="0"/>
        <w:bidi w:val="0"/>
        <w:snapToGrid/>
        <w:spacing w:line="360" w:lineRule="auto"/>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i w:val="0"/>
          <w:iCs w:val="0"/>
          <w:caps w:val="0"/>
          <w:color w:val="auto"/>
          <w:spacing w:val="0"/>
          <w:sz w:val="32"/>
          <w:szCs w:val="32"/>
        </w:rPr>
      </w:pPr>
      <w:bookmarkStart w:id="244" w:name="_Toc1987728857"/>
      <w:bookmarkStart w:id="245" w:name="_Toc1876396342"/>
      <w:bookmarkStart w:id="246" w:name="_Toc1228667099"/>
      <w:bookmarkStart w:id="247" w:name="_Toc25137320"/>
      <w:bookmarkStart w:id="248" w:name="_Toc2103239515"/>
      <w:bookmarkStart w:id="249" w:name="_Toc1236695412"/>
      <w:r>
        <w:rPr>
          <w:rFonts w:hint="eastAsia" w:ascii="仿宋_GB2312" w:hAnsi="仿宋_GB2312" w:eastAsia="仿宋_GB2312" w:cs="仿宋_GB2312"/>
          <w:color w:val="auto"/>
          <w:lang w:eastAsia="zh-CN"/>
        </w:rPr>
        <w:t>第三十二条</w:t>
      </w:r>
      <w:r>
        <w:rPr>
          <w:rFonts w:hint="eastAsia" w:ascii="仿宋_GB2312" w:hAnsi="仿宋_GB2312" w:eastAsia="仿宋_GB2312" w:cs="仿宋_GB2312"/>
          <w:color w:val="auto"/>
        </w:rPr>
        <w:t>【实施规划管理】</w:t>
      </w:r>
      <w:bookmarkEnd w:id="244"/>
      <w:bookmarkEnd w:id="245"/>
      <w:bookmarkEnd w:id="246"/>
      <w:bookmarkEnd w:id="247"/>
      <w:bookmarkEnd w:id="248"/>
      <w:bookmarkEnd w:id="249"/>
      <w:r>
        <w:rPr>
          <w:rFonts w:hint="eastAsia" w:ascii="仿宋_GB2312" w:hAnsi="仿宋_GB2312" w:eastAsia="仿宋_GB2312" w:cs="仿宋_GB2312"/>
          <w:b w:val="0"/>
          <w:bCs/>
          <w:i w:val="0"/>
          <w:iCs w:val="0"/>
          <w:caps w:val="0"/>
          <w:color w:val="auto"/>
          <w:spacing w:val="0"/>
          <w:sz w:val="32"/>
          <w:szCs w:val="32"/>
          <w:lang w:val="en-US" w:eastAsia="zh-CN"/>
        </w:rPr>
        <w:t>建立国土空间规划实施传导机制，</w:t>
      </w:r>
      <w:r>
        <w:rPr>
          <w:rFonts w:hint="eastAsia" w:ascii="仿宋_GB2312" w:hAnsi="仿宋_GB2312" w:eastAsia="仿宋_GB2312" w:cs="仿宋_GB2312"/>
          <w:b w:val="0"/>
          <w:bCs/>
          <w:i w:val="0"/>
          <w:iCs w:val="0"/>
          <w:caps w:val="0"/>
          <w:color w:val="auto"/>
          <w:spacing w:val="0"/>
          <w:sz w:val="32"/>
          <w:szCs w:val="32"/>
        </w:rPr>
        <w:t>市资源规划主管部门应当根据国土空间总体规划、国民经济和社会发展五年规划组织</w:t>
      </w:r>
      <w:r>
        <w:rPr>
          <w:rFonts w:hint="eastAsia" w:ascii="仿宋_GB2312" w:hAnsi="仿宋_GB2312" w:eastAsia="仿宋_GB2312" w:cs="仿宋_GB2312"/>
          <w:b w:val="0"/>
          <w:bCs/>
          <w:i w:val="0"/>
          <w:iCs w:val="0"/>
          <w:caps w:val="0"/>
          <w:color w:val="auto"/>
          <w:spacing w:val="0"/>
          <w:sz w:val="32"/>
          <w:szCs w:val="32"/>
          <w:lang w:eastAsia="zh-CN"/>
        </w:rPr>
        <w:t>编制</w:t>
      </w:r>
      <w:r>
        <w:rPr>
          <w:rFonts w:hint="eastAsia" w:ascii="仿宋_GB2312" w:hAnsi="仿宋_GB2312" w:eastAsia="仿宋_GB2312" w:cs="仿宋_GB2312"/>
          <w:b w:val="0"/>
          <w:bCs/>
          <w:i w:val="0"/>
          <w:iCs w:val="0"/>
          <w:caps w:val="0"/>
          <w:color w:val="auto"/>
          <w:spacing w:val="0"/>
          <w:sz w:val="32"/>
          <w:szCs w:val="32"/>
        </w:rPr>
        <w:t>国土空间近期实施规划</w:t>
      </w:r>
      <w:r>
        <w:rPr>
          <w:rFonts w:hint="eastAsia" w:ascii="仿宋_GB2312" w:hAnsi="仿宋_GB2312" w:eastAsia="仿宋_GB2312" w:cs="仿宋_GB2312"/>
          <w:b w:val="0"/>
          <w:bCs/>
          <w:i w:val="0"/>
          <w:iCs w:val="0"/>
          <w:caps w:val="0"/>
          <w:color w:val="auto"/>
          <w:spacing w:val="0"/>
          <w:sz w:val="32"/>
          <w:szCs w:val="32"/>
          <w:lang w:eastAsia="zh-CN"/>
        </w:rPr>
        <w:t>，</w:t>
      </w:r>
      <w:r>
        <w:rPr>
          <w:rFonts w:hint="eastAsia" w:ascii="仿宋_GB2312" w:hAnsi="仿宋_GB2312" w:eastAsia="仿宋_GB2312" w:cs="仿宋_GB2312"/>
          <w:b w:val="0"/>
          <w:bCs/>
          <w:i w:val="0"/>
          <w:iCs w:val="0"/>
          <w:caps w:val="0"/>
          <w:color w:val="auto"/>
          <w:spacing w:val="0"/>
          <w:sz w:val="32"/>
          <w:szCs w:val="32"/>
        </w:rPr>
        <w:t>规划期限为五年，经市人民政府批准后向社会公布。根据国土空间近期实施规划，组织编制国土空间三年行动计划及年度实施计划，策划实施项目纳入厦门市“多规合一”综合管理平台项目储备库，作为启动项目策划生成的依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360" w:lineRule="auto"/>
        <w:ind w:left="0" w:right="0" w:firstLine="640" w:firstLineChars="200"/>
        <w:textAlignment w:val="auto"/>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i w:val="0"/>
          <w:iCs w:val="0"/>
          <w:caps w:val="0"/>
          <w:color w:val="auto"/>
          <w:spacing w:val="0"/>
          <w:sz w:val="32"/>
          <w:szCs w:val="32"/>
          <w:lang w:val="en-US" w:eastAsia="zh-CN"/>
        </w:rPr>
        <w:t>衔接</w:t>
      </w:r>
      <w:r>
        <w:rPr>
          <w:rFonts w:hint="eastAsia" w:ascii="仿宋_GB2312" w:hAnsi="仿宋_GB2312" w:eastAsia="仿宋_GB2312" w:cs="仿宋_GB2312"/>
          <w:i w:val="0"/>
          <w:iCs w:val="0"/>
          <w:caps w:val="0"/>
          <w:color w:val="auto"/>
          <w:spacing w:val="0"/>
          <w:sz w:val="32"/>
          <w:szCs w:val="32"/>
        </w:rPr>
        <w:t>近期实施规划、</w:t>
      </w:r>
      <w:r>
        <w:rPr>
          <w:rFonts w:hint="eastAsia" w:ascii="仿宋_GB2312" w:hAnsi="仿宋_GB2312" w:eastAsia="仿宋_GB2312" w:cs="仿宋_GB2312"/>
          <w:i w:val="0"/>
          <w:iCs w:val="0"/>
          <w:caps w:val="0"/>
          <w:color w:val="auto"/>
          <w:spacing w:val="0"/>
          <w:sz w:val="32"/>
          <w:szCs w:val="32"/>
          <w:lang w:val="en-US" w:eastAsia="zh-CN"/>
        </w:rPr>
        <w:t>三年行动计划以及年度实施计划，统筹编制土地储备、土地征收、年度建设用地供应等计划，</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根据空间布局、开发、利用需求依法</w:t>
      </w:r>
      <w:r>
        <w:rPr>
          <w:rFonts w:hint="eastAsia" w:ascii="仿宋_GB2312" w:hAnsi="仿宋_GB2312" w:eastAsia="仿宋_GB2312" w:cs="仿宋_GB2312"/>
          <w:i w:val="0"/>
          <w:iCs w:val="0"/>
          <w:caps w:val="0"/>
          <w:color w:val="auto"/>
          <w:spacing w:val="0"/>
          <w:sz w:val="32"/>
          <w:szCs w:val="32"/>
          <w:lang w:val="en-US" w:eastAsia="zh-CN"/>
        </w:rPr>
        <w:t>有序开展自然资源供应。</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Times New Roman" w:eastAsia="仿宋_GB2312" w:cs="仿宋_GB2312"/>
          <w:bCs/>
          <w:color w:val="auto"/>
          <w:sz w:val="32"/>
          <w:lang w:eastAsia="zh-CN"/>
        </w:rPr>
      </w:pPr>
      <w:bookmarkStart w:id="250" w:name="_Toc655863280"/>
      <w:bookmarkStart w:id="251" w:name="_Toc245349324"/>
      <w:bookmarkStart w:id="252" w:name="_Toc666108542"/>
      <w:bookmarkStart w:id="253" w:name="_Toc2003787571"/>
      <w:bookmarkStart w:id="254" w:name="_Toc799857431"/>
      <w:bookmarkStart w:id="255" w:name="_Toc320050784"/>
      <w:r>
        <w:rPr>
          <w:rFonts w:hint="eastAsia" w:ascii="仿宋_GB2312" w:hAnsi="仿宋_GB2312" w:eastAsia="仿宋_GB2312" w:cs="仿宋_GB2312"/>
          <w:color w:val="auto"/>
          <w:lang w:eastAsia="zh-CN"/>
        </w:rPr>
        <w:t>第三十三条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自然资源利用审批</w:t>
      </w:r>
      <w:r>
        <w:rPr>
          <w:rFonts w:hint="eastAsia" w:ascii="仿宋_GB2312" w:hAnsi="仿宋_GB2312" w:eastAsia="仿宋_GB2312" w:cs="仿宋_GB2312"/>
          <w:color w:val="auto"/>
        </w:rPr>
        <w:t>】</w:t>
      </w:r>
      <w:bookmarkEnd w:id="250"/>
      <w:bookmarkEnd w:id="251"/>
      <w:bookmarkEnd w:id="252"/>
      <w:bookmarkEnd w:id="253"/>
      <w:bookmarkEnd w:id="254"/>
      <w:bookmarkEnd w:id="255"/>
      <w:r>
        <w:rPr>
          <w:rFonts w:hint="eastAsia" w:ascii="仿宋_GB2312" w:hAnsi="仿宋_GB2312" w:eastAsia="仿宋_GB2312" w:cs="仿宋_GB2312"/>
          <w:b w:val="0"/>
          <w:bCs/>
          <w:color w:val="auto"/>
          <w:kern w:val="0"/>
          <w:sz w:val="32"/>
          <w:szCs w:val="32"/>
          <w:shd w:val="clear" w:color="auto" w:fill="FFFFFF"/>
          <w:lang w:val="en-US" w:eastAsia="zh-CN"/>
        </w:rPr>
        <w:t>用地用林用草用海等自然资源开发利用审批</w:t>
      </w:r>
      <w:r>
        <w:rPr>
          <w:rFonts w:hint="eastAsia" w:ascii="仿宋_GB2312" w:hAnsi="Times New Roman" w:eastAsia="仿宋_GB2312" w:cs="仿宋_GB2312"/>
          <w:b w:val="0"/>
          <w:bCs/>
          <w:color w:val="auto"/>
          <w:sz w:val="32"/>
        </w:rPr>
        <w:t>应当符合国土空间规划</w:t>
      </w:r>
      <w:r>
        <w:rPr>
          <w:rFonts w:hint="eastAsia" w:ascii="仿宋_GB2312" w:hAnsi="Times New Roman" w:eastAsia="仿宋_GB2312" w:cs="仿宋_GB2312"/>
          <w:b w:val="0"/>
          <w:bCs/>
          <w:color w:val="auto"/>
          <w:sz w:val="32"/>
          <w:lang w:eastAsia="zh-CN"/>
        </w:rPr>
        <w:t>以</w:t>
      </w:r>
      <w:r>
        <w:rPr>
          <w:rFonts w:hint="eastAsia" w:ascii="仿宋_GB2312" w:hAnsi="Times New Roman" w:eastAsia="仿宋_GB2312" w:cs="仿宋_GB2312"/>
          <w:b w:val="0"/>
          <w:bCs/>
          <w:color w:val="auto"/>
          <w:sz w:val="32"/>
          <w:lang w:val="en-US" w:eastAsia="zh-CN"/>
        </w:rPr>
        <w:t>及</w:t>
      </w:r>
      <w:r>
        <w:rPr>
          <w:rFonts w:hint="eastAsia" w:ascii="仿宋_GB2312" w:hAnsi="Times New Roman" w:eastAsia="仿宋_GB2312" w:cs="仿宋_GB2312"/>
          <w:b w:val="0"/>
          <w:bCs/>
          <w:color w:val="auto"/>
          <w:sz w:val="32"/>
        </w:rPr>
        <w:t>用途管制</w:t>
      </w:r>
      <w:r>
        <w:rPr>
          <w:rFonts w:hint="eastAsia" w:ascii="仿宋_GB2312" w:hAnsi="Times New Roman" w:eastAsia="仿宋_GB2312" w:cs="仿宋_GB2312"/>
          <w:b w:val="0"/>
          <w:bCs/>
          <w:color w:val="auto"/>
          <w:sz w:val="32"/>
          <w:lang w:val="en-US" w:eastAsia="zh-CN"/>
        </w:rPr>
        <w:t>要求</w:t>
      </w:r>
      <w:r>
        <w:rPr>
          <w:rFonts w:hint="eastAsia" w:ascii="仿宋_GB2312" w:hAnsi="Times New Roman" w:eastAsia="仿宋_GB2312" w:cs="仿宋_GB2312"/>
          <w:b w:val="0"/>
          <w:bCs/>
          <w:color w:val="auto"/>
          <w:sz w:val="32"/>
          <w:lang w:eastAsia="zh-CN"/>
        </w:rPr>
        <w:t>，依法依规办理相关审批手续。</w:t>
      </w:r>
    </w:p>
    <w:p>
      <w:pPr>
        <w:pageBreakBefore w:val="0"/>
        <w:kinsoku/>
        <w:wordWrap/>
        <w:overflowPunct/>
        <w:topLinePunct w:val="0"/>
        <w:bidi w:val="0"/>
        <w:snapToGrid/>
        <w:spacing w:line="360" w:lineRule="auto"/>
        <w:ind w:right="-99" w:firstLine="640"/>
        <w:textAlignment w:val="auto"/>
        <w:rPr>
          <w:rFonts w:hint="eastAsia" w:ascii="仿宋_GB2312" w:hAnsi="仿宋_GB2312" w:eastAsia="仿宋_GB2312" w:cs="仿宋_GB2312"/>
          <w:bCs/>
          <w:color w:val="auto"/>
          <w:kern w:val="2"/>
          <w:sz w:val="32"/>
          <w:szCs w:val="32"/>
          <w:shd w:val="clear" w:color="auto" w:fill="FFFFFF"/>
          <w:lang w:val="en-US" w:eastAsia="zh-CN"/>
        </w:rPr>
      </w:pPr>
      <w:r>
        <w:rPr>
          <w:rFonts w:hint="eastAsia" w:ascii="仿宋_GB2312" w:hAnsi="仿宋_GB2312" w:eastAsia="仿宋_GB2312" w:cs="仿宋_GB2312"/>
          <w:bCs/>
          <w:color w:val="auto"/>
          <w:sz w:val="32"/>
          <w:szCs w:val="32"/>
        </w:rPr>
        <w:t>对符合国土空间规划</w:t>
      </w:r>
      <w:r>
        <w:rPr>
          <w:rFonts w:hint="eastAsia" w:ascii="仿宋_GB2312" w:hAnsi="仿宋_GB2312" w:eastAsia="仿宋_GB2312" w:cs="仿宋_GB2312"/>
          <w:bCs/>
          <w:color w:val="auto"/>
          <w:sz w:val="32"/>
          <w:szCs w:val="32"/>
          <w:lang w:val="en-US" w:eastAsia="zh-CN"/>
        </w:rPr>
        <w:t>和</w:t>
      </w:r>
      <w:r>
        <w:rPr>
          <w:rFonts w:hint="eastAsia" w:ascii="仿宋_GB2312" w:hAnsi="仿宋_GB2312" w:eastAsia="仿宋_GB2312" w:cs="仿宋_GB2312"/>
          <w:bCs/>
          <w:color w:val="auto"/>
          <w:sz w:val="32"/>
          <w:szCs w:val="32"/>
        </w:rPr>
        <w:t>海</w:t>
      </w:r>
      <w:r>
        <w:rPr>
          <w:rFonts w:hint="eastAsia" w:ascii="仿宋_GB2312" w:hAnsi="仿宋_GB2312" w:eastAsia="仿宋_GB2312" w:cs="仿宋_GB2312"/>
          <w:bCs/>
          <w:color w:val="auto"/>
          <w:sz w:val="32"/>
          <w:szCs w:val="32"/>
          <w:lang w:eastAsia="zh-CN"/>
        </w:rPr>
        <w:t>洋生</w:t>
      </w:r>
      <w:r>
        <w:rPr>
          <w:rFonts w:hint="eastAsia" w:ascii="仿宋_GB2312" w:hAnsi="仿宋_GB2312" w:eastAsia="仿宋_GB2312" w:cs="仿宋_GB2312"/>
          <w:bCs/>
          <w:color w:val="auto"/>
          <w:sz w:val="32"/>
          <w:szCs w:val="32"/>
        </w:rPr>
        <w:t>态环境保护要求的用海项目，</w:t>
      </w:r>
      <w:r>
        <w:rPr>
          <w:rFonts w:hint="eastAsia" w:ascii="仿宋_GB2312" w:hAnsi="仿宋_GB2312" w:eastAsia="仿宋_GB2312" w:cs="仿宋_GB2312"/>
          <w:bCs/>
          <w:color w:val="auto"/>
          <w:sz w:val="32"/>
          <w:szCs w:val="32"/>
          <w:lang w:eastAsia="zh-CN"/>
        </w:rPr>
        <w:t>实施</w:t>
      </w:r>
      <w:r>
        <w:rPr>
          <w:rFonts w:hint="eastAsia" w:ascii="仿宋_GB2312" w:hAnsi="仿宋_GB2312" w:eastAsia="仿宋_GB2312" w:cs="仿宋_GB2312"/>
          <w:bCs/>
          <w:color w:val="auto"/>
          <w:sz w:val="32"/>
          <w:szCs w:val="32"/>
        </w:rPr>
        <w:t>用海审批告知承诺制。</w:t>
      </w:r>
      <w:r>
        <w:rPr>
          <w:rFonts w:hint="eastAsia" w:ascii="仿宋_GB2312" w:hAnsi="仿宋_GB2312" w:eastAsia="仿宋_GB2312" w:cs="仿宋_GB2312"/>
          <w:bCs/>
          <w:color w:val="auto"/>
          <w:kern w:val="2"/>
          <w:sz w:val="32"/>
          <w:szCs w:val="32"/>
          <w:lang w:val="en-US" w:eastAsia="zh-CN" w:bidi="ar-SA"/>
        </w:rPr>
        <w:t>对于填海形成土地面积达到一定规模且开发建设周期较长的项目，可实行分期验收。</w:t>
      </w:r>
    </w:p>
    <w:p>
      <w:pPr>
        <w:pageBreakBefore w:val="0"/>
        <w:kinsoku/>
        <w:wordWrap/>
        <w:overflowPunct/>
        <w:topLinePunct w:val="0"/>
        <w:bidi w:val="0"/>
        <w:snapToGrid/>
        <w:spacing w:line="360" w:lineRule="auto"/>
        <w:ind w:firstLine="640" w:firstLineChars="200"/>
        <w:textAlignment w:val="auto"/>
        <w:rPr>
          <w:rFonts w:hint="eastAsia" w:ascii="仿宋_GB2312" w:hAnsi="Times New Roman" w:eastAsia="仿宋_GB2312" w:cs="仿宋_GB2312"/>
          <w:b w:val="0"/>
          <w:color w:val="auto"/>
          <w:kern w:val="2"/>
          <w:sz w:val="32"/>
          <w:szCs w:val="32"/>
          <w:lang w:val="en-US" w:eastAsia="zh-CN" w:bidi="ar-SA"/>
        </w:rPr>
      </w:pPr>
      <w:r>
        <w:rPr>
          <w:rFonts w:hint="eastAsia" w:ascii="仿宋_GB2312" w:hAnsi="Times New Roman" w:eastAsia="仿宋_GB2312" w:cs="仿宋_GB2312"/>
          <w:b w:val="0"/>
          <w:color w:val="auto"/>
          <w:kern w:val="2"/>
          <w:sz w:val="32"/>
          <w:szCs w:val="32"/>
          <w:lang w:val="en-US" w:eastAsia="zh-CN" w:bidi="ar-SA"/>
        </w:rPr>
        <w:t>对于建设周期较长的能源、交通、水利等基础设施项目的临时用海，不影响国土空间规划实施的，临时用海期限累计最长不超过一年。</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Times New Roman" w:eastAsia="仿宋_GB2312" w:cs="仿宋_GB2312"/>
          <w:color w:val="auto"/>
          <w:sz w:val="32"/>
          <w:szCs w:val="32"/>
        </w:rPr>
      </w:pPr>
      <w:bookmarkStart w:id="256" w:name="_Toc43066752"/>
      <w:bookmarkStart w:id="257" w:name="_Toc1681111940"/>
      <w:bookmarkStart w:id="258" w:name="_Toc1479419604"/>
      <w:bookmarkStart w:id="259" w:name="_Toc531957521"/>
      <w:bookmarkStart w:id="260" w:name="_Toc1673104615"/>
      <w:bookmarkStart w:id="261" w:name="_Toc508620236"/>
      <w:r>
        <w:rPr>
          <w:rFonts w:hint="eastAsia" w:ascii="仿宋_GB2312" w:hAnsi="仿宋_GB2312" w:eastAsia="仿宋_GB2312" w:cs="仿宋_GB2312"/>
          <w:color w:val="auto"/>
          <w:lang w:eastAsia="zh-CN"/>
        </w:rPr>
        <w:t>第三十四条</w:t>
      </w:r>
      <w:r>
        <w:rPr>
          <w:rFonts w:hint="eastAsia" w:ascii="仿宋_GB2312" w:hAnsi="仿宋_GB2312" w:eastAsia="仿宋_GB2312" w:cs="仿宋_GB2312"/>
          <w:color w:val="auto"/>
        </w:rPr>
        <w:t>【</w:t>
      </w:r>
      <w:r>
        <w:rPr>
          <w:rFonts w:ascii="仿宋_GB2312" w:hAnsi="仿宋_GB2312" w:eastAsia="仿宋_GB2312" w:cs="仿宋_GB2312"/>
          <w:color w:val="auto"/>
        </w:rPr>
        <w:t>用地预审</w:t>
      </w:r>
      <w:r>
        <w:rPr>
          <w:rFonts w:hint="eastAsia" w:ascii="仿宋_GB2312" w:hAnsi="仿宋_GB2312" w:eastAsia="仿宋_GB2312" w:cs="仿宋_GB2312"/>
          <w:color w:val="auto"/>
        </w:rPr>
        <w:t>】</w:t>
      </w:r>
      <w:bookmarkEnd w:id="256"/>
      <w:bookmarkEnd w:id="257"/>
      <w:bookmarkEnd w:id="258"/>
      <w:bookmarkEnd w:id="259"/>
      <w:bookmarkEnd w:id="260"/>
      <w:bookmarkEnd w:id="261"/>
      <w:r>
        <w:rPr>
          <w:rFonts w:hint="eastAsia" w:ascii="仿宋_GB2312" w:hAnsi="Times New Roman" w:eastAsia="仿宋_GB2312" w:cs="仿宋_GB2312"/>
          <w:b w:val="0"/>
          <w:bCs/>
          <w:color w:val="auto"/>
          <w:sz w:val="32"/>
          <w:szCs w:val="32"/>
        </w:rPr>
        <w:t>建设项目按照</w:t>
      </w:r>
      <w:r>
        <w:rPr>
          <w:rFonts w:hint="eastAsia" w:ascii="仿宋_GB2312" w:hAnsi="Times New Roman" w:eastAsia="仿宋_GB2312" w:cs="仿宋_GB2312"/>
          <w:b w:val="0"/>
          <w:bCs/>
          <w:color w:val="auto"/>
          <w:sz w:val="32"/>
          <w:szCs w:val="32"/>
          <w:lang w:eastAsia="zh-CN"/>
        </w:rPr>
        <w:t>国家</w:t>
      </w:r>
      <w:r>
        <w:rPr>
          <w:rFonts w:hint="eastAsia" w:ascii="仿宋_GB2312" w:hAnsi="Times New Roman" w:eastAsia="仿宋_GB2312" w:cs="仿宋_GB2312"/>
          <w:b w:val="0"/>
          <w:bCs/>
          <w:color w:val="auto"/>
          <w:sz w:val="32"/>
          <w:szCs w:val="32"/>
        </w:rPr>
        <w:t>规定</w:t>
      </w:r>
      <w:r>
        <w:rPr>
          <w:rFonts w:hint="eastAsia" w:ascii="仿宋_GB2312" w:hAnsi="Times New Roman" w:eastAsia="仿宋_GB2312" w:cs="仿宋_GB2312"/>
          <w:b w:val="0"/>
          <w:bCs/>
          <w:color w:val="auto"/>
          <w:sz w:val="32"/>
          <w:szCs w:val="32"/>
          <w:lang w:eastAsia="zh-CN"/>
        </w:rPr>
        <w:t>需要</w:t>
      </w:r>
      <w:r>
        <w:rPr>
          <w:rFonts w:hint="eastAsia" w:ascii="仿宋_GB2312" w:hAnsi="Times New Roman" w:eastAsia="仿宋_GB2312" w:cs="仿宋_GB2312"/>
          <w:b w:val="0"/>
          <w:bCs/>
          <w:color w:val="auto"/>
          <w:sz w:val="32"/>
          <w:szCs w:val="32"/>
        </w:rPr>
        <w:t>办理建设项目选址</w:t>
      </w:r>
      <w:r>
        <w:rPr>
          <w:rFonts w:hint="eastAsia" w:ascii="仿宋_GB2312" w:hAnsi="Times New Roman" w:eastAsia="仿宋_GB2312" w:cs="仿宋_GB2312"/>
          <w:b w:val="0"/>
          <w:bCs/>
          <w:color w:val="auto"/>
          <w:sz w:val="32"/>
          <w:szCs w:val="32"/>
          <w:lang w:val="en-US" w:eastAsia="zh-CN"/>
        </w:rPr>
        <w:t>意见书</w:t>
      </w:r>
      <w:r>
        <w:rPr>
          <w:rFonts w:hint="eastAsia" w:ascii="仿宋_GB2312" w:hAnsi="Times New Roman" w:eastAsia="仿宋_GB2312" w:cs="仿宋_GB2312"/>
          <w:b w:val="0"/>
          <w:bCs/>
          <w:color w:val="auto"/>
          <w:sz w:val="32"/>
          <w:szCs w:val="32"/>
        </w:rPr>
        <w:t>、用地预审的，建设单位应当向市资源规划主管部门申请办理建设项目用地预审与选址意见书。</w:t>
      </w:r>
      <w:r>
        <w:rPr>
          <w:rFonts w:hint="eastAsia" w:ascii="仿宋_GB2312" w:hAnsi="Times New Roman" w:eastAsia="仿宋_GB2312" w:cs="仿宋_GB2312"/>
          <w:b w:val="0"/>
          <w:bCs/>
          <w:color w:val="auto"/>
          <w:sz w:val="32"/>
          <w:szCs w:val="32"/>
          <w:lang w:eastAsia="zh-CN"/>
        </w:rPr>
        <w:t>法律法规</w:t>
      </w:r>
      <w:r>
        <w:rPr>
          <w:rFonts w:hint="eastAsia" w:ascii="仿宋_GB2312" w:hAnsi="Times New Roman" w:eastAsia="仿宋_GB2312" w:cs="仿宋_GB2312"/>
          <w:b w:val="0"/>
          <w:bCs/>
          <w:color w:val="auto"/>
          <w:sz w:val="32"/>
          <w:szCs w:val="32"/>
        </w:rPr>
        <w:t>规定明确由上级自然资源行政主管部门办理建设项目用地预审</w:t>
      </w:r>
      <w:r>
        <w:rPr>
          <w:rFonts w:hint="eastAsia" w:ascii="仿宋_GB2312" w:hAnsi="Times New Roman" w:eastAsia="仿宋_GB2312" w:cs="仿宋_GB2312"/>
          <w:b w:val="0"/>
          <w:bCs/>
          <w:color w:val="auto"/>
          <w:sz w:val="32"/>
          <w:szCs w:val="32"/>
          <w:lang w:eastAsia="zh-CN"/>
        </w:rPr>
        <w:t>与</w:t>
      </w:r>
      <w:r>
        <w:rPr>
          <w:rFonts w:hint="eastAsia" w:ascii="仿宋_GB2312" w:hAnsi="Times New Roman" w:eastAsia="仿宋_GB2312" w:cs="仿宋_GB2312"/>
          <w:b w:val="0"/>
          <w:bCs/>
          <w:color w:val="auto"/>
          <w:sz w:val="32"/>
          <w:szCs w:val="32"/>
        </w:rPr>
        <w:t>选址意见书的，</w:t>
      </w:r>
      <w:r>
        <w:rPr>
          <w:rFonts w:hint="eastAsia" w:ascii="仿宋_GB2312" w:hAnsi="Times New Roman" w:eastAsia="仿宋_GB2312" w:cs="仿宋_GB2312"/>
          <w:b w:val="0"/>
          <w:bCs/>
          <w:color w:val="auto"/>
          <w:sz w:val="32"/>
          <w:szCs w:val="32"/>
          <w:lang w:eastAsia="zh-CN"/>
        </w:rPr>
        <w:t>按相关</w:t>
      </w:r>
      <w:r>
        <w:rPr>
          <w:rFonts w:hint="eastAsia" w:ascii="仿宋_GB2312" w:hAnsi="Times New Roman" w:eastAsia="仿宋_GB2312" w:cs="仿宋_GB2312"/>
          <w:b w:val="0"/>
          <w:bCs/>
          <w:color w:val="auto"/>
          <w:sz w:val="32"/>
          <w:szCs w:val="32"/>
        </w:rPr>
        <w:t>规定</w:t>
      </w:r>
      <w:r>
        <w:rPr>
          <w:rFonts w:hint="eastAsia" w:ascii="仿宋_GB2312" w:hAnsi="Times New Roman" w:eastAsia="仿宋_GB2312" w:cs="仿宋_GB2312"/>
          <w:b w:val="0"/>
          <w:bCs/>
          <w:color w:val="auto"/>
          <w:sz w:val="32"/>
          <w:szCs w:val="32"/>
          <w:lang w:eastAsia="zh-CN"/>
        </w:rPr>
        <w:t>办理</w:t>
      </w:r>
      <w:r>
        <w:rPr>
          <w:rFonts w:hint="eastAsia" w:ascii="仿宋_GB2312" w:hAnsi="Times New Roman" w:eastAsia="仿宋_GB2312" w:cs="仿宋_GB2312"/>
          <w:b w:val="0"/>
          <w:bCs/>
          <w:color w:val="auto"/>
          <w:sz w:val="32"/>
          <w:szCs w:val="32"/>
        </w:rPr>
        <w:t>。</w:t>
      </w:r>
    </w:p>
    <w:p>
      <w:pPr>
        <w:pageBreakBefore w:val="0"/>
        <w:kinsoku/>
        <w:wordWrap/>
        <w:overflowPunct/>
        <w:topLinePunct w:val="0"/>
        <w:bidi w:val="0"/>
        <w:snapToGrid/>
        <w:spacing w:line="360" w:lineRule="auto"/>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建设单位应当在取得用地预审与选址意见书之日起三年内依法办理建设项目审批、核准、备案手续。</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bookmarkStart w:id="262" w:name="_Toc516683887"/>
      <w:bookmarkStart w:id="263" w:name="_Toc447493959"/>
      <w:bookmarkStart w:id="264" w:name="_Toc474630998"/>
      <w:bookmarkStart w:id="265" w:name="_Toc1761388675"/>
      <w:bookmarkStart w:id="266" w:name="_Toc1794163678"/>
      <w:bookmarkStart w:id="267" w:name="_Toc407260345"/>
      <w:r>
        <w:rPr>
          <w:rFonts w:hint="eastAsia" w:ascii="仿宋_GB2312" w:hAnsi="仿宋_GB2312" w:eastAsia="仿宋_GB2312" w:cs="仿宋_GB2312"/>
          <w:color w:val="auto"/>
          <w:lang w:eastAsia="zh-CN"/>
        </w:rPr>
        <w:t>第三十五条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核定</w:t>
      </w:r>
      <w:r>
        <w:rPr>
          <w:rFonts w:hint="eastAsia" w:ascii="仿宋_GB2312" w:hAnsi="仿宋_GB2312" w:eastAsia="仿宋_GB2312" w:cs="仿宋_GB2312"/>
          <w:color w:val="auto"/>
        </w:rPr>
        <w:t>规划条件】</w:t>
      </w:r>
      <w:bookmarkEnd w:id="262"/>
      <w:bookmarkEnd w:id="263"/>
      <w:bookmarkEnd w:id="264"/>
      <w:bookmarkEnd w:id="265"/>
      <w:bookmarkEnd w:id="266"/>
      <w:bookmarkEnd w:id="267"/>
      <w:r>
        <w:rPr>
          <w:rFonts w:hint="eastAsia" w:ascii="仿宋_GB2312" w:hAnsi="Times New Roman" w:eastAsia="仿宋_GB2312" w:cs="仿宋_GB2312"/>
          <w:b w:val="0"/>
          <w:bCs/>
          <w:color w:val="auto"/>
          <w:sz w:val="32"/>
          <w:szCs w:val="32"/>
        </w:rPr>
        <w:t>以出让等有偿方式提供国有建设用地使用权的建设项目，市资源规划主管部门应当依据详细规划和相关规定提出规划条件，作为国有建设用地使用权</w:t>
      </w:r>
      <w:r>
        <w:rPr>
          <w:rFonts w:hint="eastAsia" w:ascii="仿宋_GB2312" w:hAnsi="Times New Roman" w:eastAsia="仿宋_GB2312" w:cs="仿宋_GB2312"/>
          <w:b w:val="0"/>
          <w:bCs/>
          <w:color w:val="auto"/>
          <w:sz w:val="32"/>
          <w:szCs w:val="32"/>
          <w:lang w:val="en-US" w:eastAsia="zh-CN"/>
        </w:rPr>
        <w:t>有偿使用</w:t>
      </w:r>
      <w:r>
        <w:rPr>
          <w:rFonts w:hint="eastAsia" w:ascii="仿宋_GB2312" w:hAnsi="Times New Roman" w:eastAsia="仿宋_GB2312" w:cs="仿宋_GB2312"/>
          <w:b w:val="0"/>
          <w:bCs/>
          <w:color w:val="auto"/>
          <w:sz w:val="32"/>
          <w:szCs w:val="32"/>
        </w:rPr>
        <w:t>合同的组成部分。以划拨方式提供国有建设用地使用权的，应当在办理用地</w:t>
      </w:r>
      <w:r>
        <w:rPr>
          <w:rFonts w:hint="eastAsia" w:ascii="仿宋_GB2312" w:hAnsi="Times New Roman" w:eastAsia="仿宋_GB2312" w:cs="仿宋_GB2312"/>
          <w:b w:val="0"/>
          <w:bCs/>
          <w:color w:val="auto"/>
          <w:sz w:val="32"/>
          <w:szCs w:val="32"/>
          <w:lang w:val="en-US" w:eastAsia="zh-CN"/>
        </w:rPr>
        <w:t>预审与</w:t>
      </w:r>
      <w:r>
        <w:rPr>
          <w:rFonts w:hint="eastAsia" w:ascii="仿宋_GB2312" w:hAnsi="Times New Roman" w:eastAsia="仿宋_GB2312" w:cs="仿宋_GB2312"/>
          <w:b w:val="0"/>
          <w:bCs/>
          <w:color w:val="auto"/>
          <w:sz w:val="32"/>
          <w:szCs w:val="32"/>
        </w:rPr>
        <w:t>选址</w:t>
      </w:r>
      <w:r>
        <w:rPr>
          <w:rFonts w:hint="eastAsia" w:ascii="仿宋_GB2312" w:hAnsi="Times New Roman" w:eastAsia="仿宋_GB2312" w:cs="仿宋_GB2312"/>
          <w:b w:val="0"/>
          <w:bCs/>
          <w:color w:val="auto"/>
          <w:sz w:val="32"/>
          <w:szCs w:val="32"/>
          <w:lang w:val="en-US" w:eastAsia="zh-CN"/>
        </w:rPr>
        <w:t>意见书</w:t>
      </w:r>
      <w:r>
        <w:rPr>
          <w:rFonts w:hint="eastAsia" w:ascii="仿宋_GB2312" w:hAnsi="Times New Roman" w:eastAsia="仿宋_GB2312" w:cs="仿宋_GB2312"/>
          <w:b w:val="0"/>
          <w:bCs/>
          <w:color w:val="auto"/>
          <w:sz w:val="32"/>
          <w:szCs w:val="32"/>
        </w:rPr>
        <w:t>时提出规划条件。</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未确定规划条件的地块，不得</w:t>
      </w:r>
      <w:r>
        <w:rPr>
          <w:rFonts w:hint="eastAsia" w:ascii="仿宋_GB2312" w:hAnsi="仿宋_GB2312" w:eastAsia="仿宋_GB2312" w:cs="仿宋_GB2312"/>
          <w:b w:val="0"/>
          <w:bCs/>
          <w:i w:val="0"/>
          <w:iCs w:val="0"/>
          <w:caps w:val="0"/>
          <w:color w:val="auto"/>
          <w:spacing w:val="0"/>
          <w:kern w:val="0"/>
          <w:sz w:val="32"/>
          <w:szCs w:val="32"/>
          <w:u w:val="none"/>
          <w:shd w:val="clear" w:color="auto" w:fill="FFFFFF"/>
          <w:lang w:val="en-US" w:eastAsia="zh-CN" w:bidi="ar"/>
        </w:rPr>
        <w:t>提供国有建设用地使用权。</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在已取得建设用地</w:t>
      </w:r>
      <w:r>
        <w:rPr>
          <w:rFonts w:hint="eastAsia" w:ascii="仿宋_GB2312" w:hAnsi="Times New Roman" w:eastAsia="仿宋_GB2312" w:cs="仿宋_GB2312"/>
          <w:color w:val="auto"/>
          <w:sz w:val="32"/>
          <w:szCs w:val="32"/>
        </w:rPr>
        <w:t>红线范围内进行</w:t>
      </w:r>
      <w:r>
        <w:rPr>
          <w:rFonts w:hint="eastAsia" w:ascii="仿宋_GB2312" w:hAnsi="Times New Roman" w:eastAsia="仿宋_GB2312" w:cs="仿宋_GB2312"/>
          <w:color w:val="auto"/>
          <w:sz w:val="32"/>
          <w:szCs w:val="32"/>
          <w:lang w:eastAsia="zh-CN"/>
        </w:rPr>
        <w:t>新建、</w:t>
      </w:r>
      <w:r>
        <w:rPr>
          <w:rFonts w:hint="eastAsia" w:ascii="仿宋_GB2312" w:hAnsi="Times New Roman" w:eastAsia="仿宋_GB2312" w:cs="仿宋_GB2312"/>
          <w:color w:val="auto"/>
          <w:sz w:val="32"/>
          <w:szCs w:val="32"/>
        </w:rPr>
        <w:t>改建、扩建的，建设单位或者个人应当向市</w:t>
      </w:r>
      <w:r>
        <w:rPr>
          <w:rFonts w:hint="eastAsia" w:ascii="仿宋_GB2312" w:hAnsi="Times New Roman" w:eastAsia="仿宋_GB2312" w:cs="仿宋_GB2312"/>
          <w:color w:val="auto"/>
          <w:sz w:val="32"/>
          <w:szCs w:val="32"/>
          <w:lang w:eastAsia="zh-CN"/>
        </w:rPr>
        <w:t>资源</w:t>
      </w:r>
      <w:r>
        <w:rPr>
          <w:rFonts w:hint="eastAsia" w:ascii="仿宋_GB2312" w:hAnsi="Times New Roman" w:eastAsia="仿宋_GB2312" w:cs="仿宋_GB2312"/>
          <w:color w:val="auto"/>
          <w:sz w:val="32"/>
          <w:szCs w:val="32"/>
        </w:rPr>
        <w:t>规划主管部门申</w:t>
      </w:r>
      <w:r>
        <w:rPr>
          <w:rFonts w:hint="eastAsia" w:ascii="仿宋_GB2312" w:hAnsi="仿宋_GB2312" w:eastAsia="仿宋_GB2312" w:cs="仿宋_GB2312"/>
          <w:i w:val="0"/>
          <w:iCs w:val="0"/>
          <w:caps w:val="0"/>
          <w:color w:val="auto"/>
          <w:spacing w:val="0"/>
          <w:sz w:val="32"/>
          <w:szCs w:val="32"/>
          <w:shd w:val="clear" w:fill="FFFFFF"/>
        </w:rPr>
        <w:t>请核定规划条件</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建设单位或者个人应当在规划条件核定后一年内申请建设工程规划许可证</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sz w:val="32"/>
          <w:szCs w:val="32"/>
        </w:rPr>
      </w:pPr>
      <w:bookmarkStart w:id="268" w:name="_Toc2129687324"/>
      <w:bookmarkStart w:id="269" w:name="_Toc1312527933"/>
      <w:bookmarkStart w:id="270" w:name="_Toc1126272182"/>
      <w:bookmarkStart w:id="271" w:name="_Toc106628313"/>
      <w:bookmarkStart w:id="272" w:name="_Toc362056160"/>
      <w:bookmarkStart w:id="273" w:name="_Toc980951368"/>
      <w:r>
        <w:rPr>
          <w:rFonts w:hint="eastAsia" w:ascii="仿宋_GB2312" w:hAnsi="仿宋_GB2312" w:eastAsia="仿宋_GB2312" w:cs="仿宋_GB2312"/>
          <w:color w:val="auto"/>
          <w:lang w:eastAsia="zh-CN"/>
        </w:rPr>
        <w:t>第三十六条</w:t>
      </w:r>
      <w:r>
        <w:rPr>
          <w:rFonts w:hint="eastAsia" w:ascii="仿宋_GB2312" w:hAnsi="仿宋_GB2312" w:eastAsia="仿宋_GB2312" w:cs="仿宋_GB2312"/>
          <w:color w:val="auto"/>
        </w:rPr>
        <w:t>【规划条件变更】</w:t>
      </w:r>
      <w:bookmarkEnd w:id="268"/>
      <w:bookmarkEnd w:id="269"/>
      <w:bookmarkEnd w:id="270"/>
      <w:bookmarkEnd w:id="271"/>
      <w:bookmarkEnd w:id="272"/>
      <w:bookmarkEnd w:id="273"/>
      <w:r>
        <w:rPr>
          <w:rFonts w:hint="eastAsia" w:ascii="仿宋_GB2312" w:hAnsi="仿宋_GB2312" w:eastAsia="仿宋_GB2312" w:cs="仿宋_GB2312"/>
          <w:b w:val="0"/>
          <w:bCs/>
          <w:color w:val="auto"/>
          <w:sz w:val="32"/>
          <w:szCs w:val="32"/>
        </w:rPr>
        <w:t>规划条件分为强制性规划条件、限制性规划条件和建议性规划条件。</w:t>
      </w:r>
      <w:r>
        <w:rPr>
          <w:rFonts w:hint="eastAsia" w:ascii="仿宋_GB2312" w:hAnsi="仿宋_GB2312" w:eastAsia="仿宋_GB2312" w:cs="仿宋_GB2312"/>
          <w:b w:val="0"/>
          <w:bCs/>
          <w:color w:val="auto"/>
          <w:sz w:val="32"/>
          <w:szCs w:val="32"/>
          <w:lang w:val="en-US" w:eastAsia="zh-CN"/>
        </w:rPr>
        <w:t>国有建设用地使用权供应后规划条件原则上不得变更。</w:t>
      </w:r>
      <w:r>
        <w:rPr>
          <w:rFonts w:hint="eastAsia" w:ascii="仿宋_GB2312" w:hAnsi="仿宋_GB2312" w:eastAsia="仿宋_GB2312" w:cs="仿宋_GB2312"/>
          <w:b w:val="0"/>
          <w:bCs/>
          <w:color w:val="auto"/>
          <w:sz w:val="32"/>
          <w:szCs w:val="32"/>
        </w:rPr>
        <w:t>确需变更的，应当以详细规划为依据，</w:t>
      </w:r>
      <w:r>
        <w:rPr>
          <w:rFonts w:hint="eastAsia" w:ascii="仿宋_GB2312" w:hAnsi="仿宋_GB2312" w:eastAsia="仿宋_GB2312" w:cs="仿宋_GB2312"/>
          <w:b w:val="0"/>
          <w:bCs/>
          <w:color w:val="auto"/>
          <w:sz w:val="32"/>
          <w:szCs w:val="32"/>
          <w:lang w:val="en-US" w:eastAsia="zh-CN"/>
        </w:rPr>
        <w:t>并</w:t>
      </w:r>
      <w:r>
        <w:rPr>
          <w:rFonts w:hint="eastAsia" w:ascii="仿宋_GB2312" w:hAnsi="仿宋_GB2312" w:eastAsia="仿宋_GB2312" w:cs="仿宋_GB2312"/>
          <w:b w:val="0"/>
          <w:bCs/>
          <w:color w:val="auto"/>
          <w:sz w:val="32"/>
          <w:szCs w:val="32"/>
        </w:rPr>
        <w:t>符合法律法规</w:t>
      </w:r>
      <w:r>
        <w:rPr>
          <w:rFonts w:hint="eastAsia" w:ascii="仿宋_GB2312" w:hAnsi="仿宋_GB2312" w:eastAsia="仿宋_GB2312" w:cs="仿宋_GB2312"/>
          <w:b w:val="0"/>
          <w:bCs/>
          <w:color w:val="auto"/>
          <w:sz w:val="32"/>
          <w:szCs w:val="32"/>
          <w:lang w:eastAsia="zh-CN"/>
        </w:rPr>
        <w:t>以</w:t>
      </w:r>
      <w:r>
        <w:rPr>
          <w:rFonts w:hint="eastAsia" w:ascii="仿宋_GB2312" w:hAnsi="仿宋_GB2312" w:eastAsia="仿宋_GB2312" w:cs="仿宋_GB2312"/>
          <w:b w:val="0"/>
          <w:bCs/>
          <w:color w:val="auto"/>
          <w:sz w:val="32"/>
          <w:szCs w:val="32"/>
        </w:rPr>
        <w:t>及相关规范的要求。</w:t>
      </w:r>
    </w:p>
    <w:p>
      <w:pPr>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因国家、省、市相关政策调整、重大基础设施建设、公益性公共设施建设、生态环境保护和文物保护等需要，确需变更强制性规划条件的，由市资源规划主管部门组织论证</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公示</w:t>
      </w:r>
      <w:r>
        <w:rPr>
          <w:rFonts w:hint="eastAsia" w:ascii="仿宋_GB2312" w:hAnsi="仿宋_GB2312" w:eastAsia="仿宋_GB2312" w:cs="仿宋_GB2312"/>
          <w:color w:val="auto"/>
          <w:sz w:val="32"/>
          <w:szCs w:val="32"/>
          <w:shd w:val="clear" w:color="auto" w:fill="FFFFFF"/>
          <w:lang w:val="en-US" w:eastAsia="zh-CN"/>
        </w:rPr>
        <w:t>后</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报市人民政府批准</w:t>
      </w:r>
      <w:r>
        <w:rPr>
          <w:rFonts w:hint="eastAsia" w:ascii="仿宋_GB2312" w:hAnsi="仿宋_GB2312" w:eastAsia="仿宋_GB2312" w:cs="仿宋_GB2312"/>
          <w:color w:val="auto"/>
          <w:sz w:val="32"/>
          <w:szCs w:val="32"/>
          <w:shd w:val="clear" w:color="auto" w:fill="FFFFFF"/>
        </w:rPr>
        <w:t>并向社会公布。</w:t>
      </w:r>
    </w:p>
    <w:p>
      <w:pPr>
        <w:pageBreakBefore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变更限制性和建议性规划条件的，由</w:t>
      </w:r>
      <w:r>
        <w:rPr>
          <w:rFonts w:hint="eastAsia" w:ascii="仿宋_GB2312" w:hAnsi="仿宋_GB2312" w:eastAsia="仿宋_GB2312" w:cs="仿宋_GB2312"/>
          <w:color w:val="auto"/>
          <w:sz w:val="32"/>
          <w:szCs w:val="32"/>
        </w:rPr>
        <w:t>建设单位或者个人报</w:t>
      </w:r>
      <w:r>
        <w:rPr>
          <w:rFonts w:hint="eastAsia" w:ascii="仿宋_GB2312" w:hAnsi="仿宋_GB2312" w:eastAsia="仿宋_GB2312" w:cs="仿宋_GB2312"/>
          <w:color w:val="auto"/>
          <w:sz w:val="32"/>
          <w:szCs w:val="32"/>
          <w:shd w:val="clear" w:color="auto" w:fill="FFFFFF"/>
        </w:rPr>
        <w:t>市资源规划主管部门审查</w:t>
      </w:r>
      <w:r>
        <w:rPr>
          <w:rFonts w:hint="eastAsia" w:ascii="仿宋_GB2312" w:hAnsi="仿宋_GB2312" w:eastAsia="仿宋_GB2312" w:cs="仿宋_GB2312"/>
          <w:color w:val="auto"/>
          <w:sz w:val="32"/>
          <w:szCs w:val="32"/>
          <w:shd w:val="clear" w:color="auto" w:fill="FFFFFF"/>
          <w:lang w:val="en-US" w:eastAsia="zh-CN"/>
        </w:rPr>
        <w:t>决定</w:t>
      </w:r>
      <w:r>
        <w:rPr>
          <w:rFonts w:hint="eastAsia" w:ascii="仿宋_GB2312" w:hAnsi="仿宋_GB2312" w:eastAsia="仿宋_GB2312" w:cs="仿宋_GB2312"/>
          <w:color w:val="auto"/>
          <w:sz w:val="32"/>
          <w:szCs w:val="32"/>
          <w:shd w:val="clear" w:color="auto" w:fill="FFFFFF"/>
        </w:rPr>
        <w:t>。其中变更限制性规划条件的由市资源规划主管部门组织论证、公示。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上述公示时间不得少于十日。</w:t>
      </w:r>
    </w:p>
    <w:p>
      <w:pPr>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规划条件</w:t>
      </w:r>
      <w:r>
        <w:rPr>
          <w:rFonts w:hint="eastAsia" w:ascii="仿宋_GB2312" w:hAnsi="仿宋_GB2312" w:eastAsia="仿宋_GB2312" w:cs="仿宋_GB2312"/>
          <w:color w:val="auto"/>
          <w:sz w:val="32"/>
          <w:szCs w:val="32"/>
          <w:shd w:val="clear" w:color="auto" w:fill="FFFFFF"/>
          <w:lang w:val="en-US" w:eastAsia="zh-CN"/>
        </w:rPr>
        <w:t>变更依法批准后</w:t>
      </w:r>
      <w:r>
        <w:rPr>
          <w:rFonts w:hint="eastAsia" w:ascii="仿宋_GB2312" w:hAnsi="仿宋_GB2312" w:eastAsia="仿宋_GB2312" w:cs="仿宋_GB2312"/>
          <w:color w:val="auto"/>
          <w:sz w:val="32"/>
          <w:szCs w:val="32"/>
          <w:shd w:val="clear" w:color="auto" w:fill="FFFFFF"/>
        </w:rPr>
        <w:t>，市资源规划主管部门</w:t>
      </w:r>
      <w:r>
        <w:rPr>
          <w:rFonts w:hint="eastAsia" w:ascii="仿宋_GB2312" w:hAnsi="仿宋_GB2312" w:eastAsia="仿宋_GB2312" w:cs="仿宋_GB2312"/>
          <w:color w:val="auto"/>
          <w:sz w:val="32"/>
          <w:szCs w:val="32"/>
          <w:shd w:val="clear" w:color="auto" w:fill="FFFFFF"/>
          <w:lang w:val="en-US" w:eastAsia="zh-CN"/>
        </w:rPr>
        <w:t>须公布批准变更情况，并通报同级监察部门</w:t>
      </w:r>
      <w:r>
        <w:rPr>
          <w:rFonts w:hint="eastAsia" w:ascii="仿宋_GB2312" w:hAnsi="仿宋_GB2312" w:eastAsia="仿宋_GB2312" w:cs="仿宋_GB2312"/>
          <w:color w:val="auto"/>
          <w:sz w:val="32"/>
          <w:szCs w:val="32"/>
          <w:shd w:val="clear" w:color="auto" w:fill="FFFFFF"/>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Times New Roman" w:eastAsia="仿宋_GB2312" w:cs="仿宋_GB2312"/>
          <w:color w:val="auto"/>
          <w:sz w:val="32"/>
          <w:szCs w:val="32"/>
        </w:rPr>
      </w:pPr>
      <w:bookmarkStart w:id="274" w:name="_Toc1707661337"/>
      <w:bookmarkStart w:id="275" w:name="_Toc1027080431"/>
      <w:bookmarkStart w:id="276" w:name="_Toc620713311"/>
      <w:bookmarkStart w:id="277" w:name="_Toc1659122752"/>
      <w:bookmarkStart w:id="278" w:name="_Toc723667763"/>
      <w:bookmarkStart w:id="279" w:name="_Toc25919"/>
      <w:bookmarkStart w:id="280" w:name="_Toc456905956"/>
      <w:r>
        <w:rPr>
          <w:rFonts w:hint="eastAsia" w:ascii="仿宋_GB2312" w:hAnsi="仿宋_GB2312" w:eastAsia="仿宋_GB2312" w:cs="仿宋_GB2312"/>
          <w:color w:val="auto"/>
          <w:lang w:eastAsia="zh-CN"/>
        </w:rPr>
        <w:t>第三十七条</w:t>
      </w:r>
      <w:r>
        <w:rPr>
          <w:rFonts w:hint="eastAsia" w:ascii="仿宋_GB2312" w:hAnsi="仿宋_GB2312" w:eastAsia="仿宋_GB2312" w:cs="仿宋_GB2312"/>
          <w:color w:val="auto"/>
        </w:rPr>
        <w:t>【建设用地规划许可】</w:t>
      </w:r>
      <w:bookmarkEnd w:id="274"/>
      <w:bookmarkEnd w:id="275"/>
      <w:bookmarkEnd w:id="276"/>
      <w:bookmarkEnd w:id="277"/>
      <w:bookmarkEnd w:id="278"/>
      <w:bookmarkEnd w:id="279"/>
      <w:bookmarkEnd w:id="280"/>
      <w:r>
        <w:rPr>
          <w:rFonts w:hint="eastAsia" w:ascii="仿宋_GB2312" w:hAnsi="Times New Roman" w:eastAsia="仿宋_GB2312" w:cs="仿宋_GB2312"/>
          <w:b w:val="0"/>
          <w:bCs/>
          <w:color w:val="auto"/>
          <w:sz w:val="32"/>
          <w:szCs w:val="32"/>
        </w:rPr>
        <w:t>以划拨方式提供国有建设用地使用权的建设项目，市资源规划主管部门在核发国有土地划拨决定书时一并核发建设用地规划许可证。以出让等有偿使用方式取得国有</w:t>
      </w:r>
      <w:r>
        <w:rPr>
          <w:rFonts w:hint="eastAsia" w:ascii="仿宋_GB2312" w:hAnsi="Times New Roman" w:eastAsia="仿宋_GB2312" w:cs="仿宋_GB2312"/>
          <w:b w:val="0"/>
          <w:bCs/>
          <w:color w:val="auto"/>
          <w:sz w:val="32"/>
          <w:szCs w:val="32"/>
          <w:lang w:val="en-US" w:eastAsia="zh-CN"/>
        </w:rPr>
        <w:t>建设用地</w:t>
      </w:r>
      <w:r>
        <w:rPr>
          <w:rFonts w:hint="eastAsia" w:ascii="仿宋_GB2312" w:hAnsi="Times New Roman" w:eastAsia="仿宋_GB2312" w:cs="仿宋_GB2312"/>
          <w:b w:val="0"/>
          <w:bCs/>
          <w:color w:val="auto"/>
          <w:sz w:val="32"/>
          <w:szCs w:val="32"/>
        </w:rPr>
        <w:t>使用权的建设项目，建设用地规划许可证随国有建设用地使用权</w:t>
      </w:r>
      <w:r>
        <w:rPr>
          <w:rFonts w:hint="eastAsia" w:ascii="仿宋_GB2312" w:hAnsi="Times New Roman" w:eastAsia="仿宋_GB2312" w:cs="仿宋_GB2312"/>
          <w:b w:val="0"/>
          <w:bCs/>
          <w:color w:val="auto"/>
          <w:sz w:val="32"/>
          <w:szCs w:val="32"/>
          <w:lang w:val="en-US" w:eastAsia="zh-CN"/>
        </w:rPr>
        <w:t>有偿使用</w:t>
      </w:r>
      <w:r>
        <w:rPr>
          <w:rFonts w:hint="eastAsia" w:ascii="仿宋_GB2312" w:hAnsi="Times New Roman" w:eastAsia="仿宋_GB2312" w:cs="仿宋_GB2312"/>
          <w:b w:val="0"/>
          <w:bCs/>
          <w:color w:val="auto"/>
          <w:sz w:val="32"/>
          <w:szCs w:val="32"/>
        </w:rPr>
        <w:t>合</w:t>
      </w:r>
      <w:r>
        <w:rPr>
          <w:rFonts w:hint="eastAsia" w:ascii="仿宋_GB2312" w:hAnsi="Times New Roman" w:eastAsia="仿宋_GB2312" w:cs="仿宋_GB2312"/>
          <w:b w:val="0"/>
          <w:bCs/>
          <w:color w:val="auto"/>
          <w:sz w:val="32"/>
          <w:szCs w:val="32"/>
          <w:lang w:eastAsia="zh-CN"/>
        </w:rPr>
        <w:t>同</w:t>
      </w:r>
      <w:r>
        <w:rPr>
          <w:rFonts w:hint="eastAsia" w:ascii="仿宋_GB2312" w:hAnsi="Times New Roman" w:eastAsia="仿宋_GB2312" w:cs="仿宋_GB2312"/>
          <w:b w:val="0"/>
          <w:bCs/>
          <w:color w:val="auto"/>
          <w:sz w:val="32"/>
          <w:szCs w:val="32"/>
        </w:rPr>
        <w:t>同步核发。</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rPr>
      </w:pPr>
      <w:bookmarkStart w:id="281" w:name="_Toc23925"/>
      <w:bookmarkStart w:id="282" w:name="_Toc1720771596"/>
      <w:bookmarkStart w:id="283" w:name="_Toc1995730608"/>
      <w:bookmarkStart w:id="284" w:name="_Toc325662938"/>
      <w:bookmarkStart w:id="285" w:name="_Toc879586003"/>
      <w:bookmarkStart w:id="286" w:name="_Toc630525675"/>
      <w:bookmarkStart w:id="287" w:name="_Toc1565429292"/>
      <w:r>
        <w:rPr>
          <w:rFonts w:hint="eastAsia" w:ascii="仿宋_GB2312" w:hAnsi="仿宋_GB2312" w:eastAsia="仿宋_GB2312" w:cs="仿宋_GB2312"/>
          <w:color w:val="auto"/>
          <w:lang w:eastAsia="zh-CN"/>
        </w:rPr>
        <w:t>第三十八条</w:t>
      </w:r>
      <w:r>
        <w:rPr>
          <w:rFonts w:hint="eastAsia" w:ascii="仿宋_GB2312" w:hAnsi="仿宋_GB2312" w:eastAsia="仿宋_GB2312" w:cs="仿宋_GB2312"/>
          <w:color w:val="auto"/>
        </w:rPr>
        <w:t>【建设工程规划许可】</w:t>
      </w:r>
      <w:bookmarkEnd w:id="281"/>
      <w:bookmarkEnd w:id="282"/>
      <w:bookmarkEnd w:id="283"/>
      <w:bookmarkEnd w:id="284"/>
      <w:bookmarkEnd w:id="285"/>
      <w:bookmarkEnd w:id="286"/>
      <w:bookmarkEnd w:id="287"/>
      <w:r>
        <w:rPr>
          <w:rFonts w:hint="eastAsia" w:ascii="仿宋_GB2312" w:hAnsi="仿宋_GB2312" w:eastAsia="仿宋_GB2312" w:cs="仿宋_GB2312"/>
          <w:b w:val="0"/>
          <w:bCs/>
          <w:color w:val="auto"/>
          <w:sz w:val="32"/>
          <w:szCs w:val="32"/>
        </w:rPr>
        <w:t>进行建筑物、构筑物、交通设施、</w:t>
      </w:r>
      <w:r>
        <w:rPr>
          <w:rFonts w:hint="eastAsia" w:ascii="仿宋_GB2312" w:hAnsi="仿宋_GB2312" w:eastAsia="仿宋_GB2312" w:cs="仿宋_GB2312"/>
          <w:b w:val="0"/>
          <w:bCs/>
          <w:color w:val="auto"/>
          <w:sz w:val="32"/>
          <w:szCs w:val="32"/>
          <w:lang w:eastAsia="zh-CN"/>
        </w:rPr>
        <w:t>管线、</w:t>
      </w:r>
      <w:r>
        <w:rPr>
          <w:rFonts w:hint="eastAsia" w:ascii="仿宋_GB2312" w:hAnsi="仿宋_GB2312" w:eastAsia="仿宋_GB2312" w:cs="仿宋_GB2312"/>
          <w:b w:val="0"/>
          <w:bCs/>
          <w:color w:val="auto"/>
          <w:sz w:val="32"/>
          <w:szCs w:val="32"/>
        </w:rPr>
        <w:t>市政综合管廊和其他工程建设的，建设单位或者个人应当按</w:t>
      </w:r>
      <w:r>
        <w:rPr>
          <w:rFonts w:hint="eastAsia" w:ascii="仿宋_GB2312" w:hAnsi="Times New Roman" w:eastAsia="仿宋_GB2312" w:cs="仿宋_GB2312"/>
          <w:b w:val="0"/>
          <w:bCs/>
          <w:color w:val="auto"/>
          <w:sz w:val="32"/>
          <w:szCs w:val="32"/>
          <w:lang w:val="en-US" w:eastAsia="zh-CN"/>
        </w:rPr>
        <w:t>持</w:t>
      </w:r>
      <w:r>
        <w:rPr>
          <w:rFonts w:hint="eastAsia" w:ascii="仿宋_GB2312" w:hAnsi="仿宋_GB2312" w:eastAsia="仿宋_GB2312" w:cs="仿宋_GB2312"/>
          <w:b w:val="0"/>
          <w:bCs/>
          <w:color w:val="auto"/>
          <w:kern w:val="0"/>
          <w:sz w:val="32"/>
          <w:szCs w:val="32"/>
        </w:rPr>
        <w:t>建设工程设计方案</w:t>
      </w:r>
      <w:r>
        <w:rPr>
          <w:rFonts w:hint="eastAsia" w:ascii="仿宋_GB2312" w:hAnsi="Times New Roman" w:eastAsia="仿宋_GB2312" w:cs="仿宋_GB2312"/>
          <w:b w:val="0"/>
          <w:bCs/>
          <w:color w:val="auto"/>
          <w:sz w:val="32"/>
          <w:szCs w:val="32"/>
          <w:lang w:val="en-US" w:eastAsia="zh-CN"/>
        </w:rPr>
        <w:t>、日照分析、三维建模报告及</w:t>
      </w:r>
      <w:r>
        <w:rPr>
          <w:rFonts w:hint="eastAsia" w:ascii="仿宋_GB2312" w:hAnsi="仿宋_GB2312" w:eastAsia="仿宋_GB2312" w:cs="仿宋_GB2312"/>
          <w:b w:val="0"/>
          <w:bCs/>
          <w:color w:val="auto"/>
          <w:sz w:val="32"/>
          <w:szCs w:val="32"/>
          <w:lang w:val="en-US" w:eastAsia="zh-CN"/>
        </w:rPr>
        <w:t>使用土地的有关证明文件</w:t>
      </w:r>
      <w:r>
        <w:rPr>
          <w:rFonts w:hint="eastAsia" w:ascii="仿宋_GB2312" w:hAnsi="Times New Roman" w:eastAsia="仿宋_GB2312" w:cs="仿宋_GB2312"/>
          <w:b w:val="0"/>
          <w:bCs/>
          <w:color w:val="auto"/>
          <w:sz w:val="32"/>
          <w:szCs w:val="32"/>
          <w:lang w:val="en-US" w:eastAsia="zh-CN"/>
        </w:rPr>
        <w:t>等材料，</w:t>
      </w:r>
      <w:r>
        <w:rPr>
          <w:rFonts w:hint="eastAsia" w:ascii="仿宋_GB2312" w:hAnsi="仿宋_GB2312" w:eastAsia="仿宋_GB2312" w:cs="仿宋_GB2312"/>
          <w:b w:val="0"/>
          <w:bCs/>
          <w:color w:val="auto"/>
          <w:sz w:val="32"/>
          <w:szCs w:val="32"/>
        </w:rPr>
        <w:t>向市资源规划主管部门申请办理建设工程规划许可证。</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市资源规划主管部门应当依法将经审定的建设工程设计方案总平面图予以公布。</w:t>
      </w:r>
    </w:p>
    <w:p>
      <w:pPr>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Times New Roman" w:eastAsia="仿宋_GB2312" w:cs="仿宋_GB2312"/>
          <w:color w:val="auto"/>
          <w:sz w:val="32"/>
          <w:szCs w:val="32"/>
        </w:rPr>
        <w:t>建设单位或者个人应当在取得建设工程规划许可证一年内依法办理建设工程施工许可证。</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i w:val="0"/>
          <w:iCs w:val="0"/>
          <w:caps w:val="0"/>
          <w:color w:val="auto"/>
          <w:spacing w:val="0"/>
          <w:sz w:val="32"/>
          <w:szCs w:val="32"/>
        </w:rPr>
      </w:pPr>
      <w:bookmarkStart w:id="288" w:name="_Toc1296635613"/>
      <w:bookmarkStart w:id="289" w:name="_Toc820811507"/>
      <w:bookmarkStart w:id="290" w:name="_Toc41695434"/>
      <w:bookmarkStart w:id="291" w:name="_Toc743918315"/>
      <w:bookmarkStart w:id="292" w:name="_Toc1326380455"/>
      <w:bookmarkStart w:id="293" w:name="_Toc1532270260"/>
      <w:bookmarkStart w:id="294" w:name="_Toc3717"/>
      <w:r>
        <w:rPr>
          <w:rFonts w:hint="eastAsia" w:ascii="仿宋_GB2312" w:hAnsi="仿宋_GB2312" w:eastAsia="仿宋_GB2312" w:cs="仿宋_GB2312"/>
          <w:color w:val="auto"/>
          <w:lang w:eastAsia="zh-CN"/>
        </w:rPr>
        <w:t>第三十九条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建设工程规划许可豁免、告知承诺制</w:t>
      </w:r>
      <w:r>
        <w:rPr>
          <w:rFonts w:hint="eastAsia" w:ascii="仿宋_GB2312" w:hAnsi="仿宋_GB2312" w:eastAsia="仿宋_GB2312" w:cs="仿宋_GB2312"/>
          <w:color w:val="auto"/>
        </w:rPr>
        <w:t>】</w:t>
      </w:r>
      <w:bookmarkEnd w:id="288"/>
      <w:bookmarkEnd w:id="289"/>
      <w:bookmarkEnd w:id="290"/>
      <w:bookmarkEnd w:id="291"/>
      <w:bookmarkEnd w:id="292"/>
      <w:bookmarkEnd w:id="293"/>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市资源规划主管部门应当根据建设项目的性质、特点、规模等，明确无需办理和免于办理、</w:t>
      </w:r>
      <w:r>
        <w:rPr>
          <w:rFonts w:hint="eastAsia" w:ascii="仿宋_GB2312" w:hAnsi="仿宋_GB2312" w:eastAsia="仿宋_GB2312" w:cs="仿宋_GB2312"/>
          <w:b w:val="0"/>
          <w:bCs/>
          <w:color w:val="auto"/>
          <w:kern w:val="0"/>
          <w:sz w:val="32"/>
          <w:szCs w:val="32"/>
          <w:shd w:val="clear" w:fill="FFFFFF"/>
          <w:lang w:bidi="ar"/>
        </w:rPr>
        <w:t>采用告知承诺</w:t>
      </w:r>
      <w:r>
        <w:rPr>
          <w:rFonts w:hint="eastAsia" w:ascii="仿宋_GB2312" w:hAnsi="仿宋_GB2312" w:eastAsia="仿宋_GB2312" w:cs="仿宋_GB2312"/>
          <w:b w:val="0"/>
          <w:bCs/>
          <w:color w:val="auto"/>
          <w:kern w:val="0"/>
          <w:sz w:val="32"/>
          <w:szCs w:val="32"/>
          <w:shd w:val="clear" w:fill="FFFFFF"/>
          <w:lang w:eastAsia="zh-CN" w:bidi="ar"/>
        </w:rPr>
        <w:t>制</w:t>
      </w:r>
      <w:r>
        <w:rPr>
          <w:rFonts w:hint="eastAsia" w:ascii="仿宋_GB2312" w:hAnsi="仿宋_GB2312" w:eastAsia="仿宋_GB2312" w:cs="仿宋_GB2312"/>
          <w:b w:val="0"/>
          <w:bCs/>
          <w:color w:val="auto"/>
          <w:kern w:val="0"/>
          <w:sz w:val="32"/>
          <w:szCs w:val="32"/>
          <w:shd w:val="clear" w:fill="FFFFFF"/>
          <w:lang w:bidi="ar"/>
        </w:rPr>
        <w:t>的方式</w:t>
      </w:r>
      <w:r>
        <w:rPr>
          <w:rFonts w:hint="eastAsia" w:ascii="仿宋_GB2312" w:hAnsi="仿宋_GB2312" w:eastAsia="仿宋_GB2312" w:cs="仿宋_GB2312"/>
          <w:b w:val="0"/>
          <w:bCs/>
          <w:color w:val="auto"/>
          <w:kern w:val="0"/>
          <w:sz w:val="32"/>
          <w:szCs w:val="32"/>
          <w:shd w:val="clear" w:fill="FFFFFF"/>
          <w:lang w:eastAsia="zh-CN" w:bidi="ar"/>
        </w:rPr>
        <w:t>办理</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建设工程规划许可、乡村建设规划许可的具体事项清单，并向社会公布。</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lang w:val="en-US" w:eastAsia="zh-CN"/>
        </w:rPr>
      </w:pPr>
      <w:bookmarkStart w:id="295" w:name="_Toc1553513782"/>
      <w:bookmarkStart w:id="296" w:name="_Toc678737394"/>
      <w:bookmarkStart w:id="297" w:name="_Toc353191387"/>
      <w:bookmarkStart w:id="298" w:name="_Toc1161885163"/>
      <w:bookmarkStart w:id="299" w:name="_Toc1783401716"/>
      <w:bookmarkStart w:id="300" w:name="_Toc1983046778"/>
      <w:r>
        <w:rPr>
          <w:rFonts w:hint="eastAsia" w:ascii="仿宋_GB2312" w:hAnsi="仿宋_GB2312" w:eastAsia="仿宋_GB2312" w:cs="仿宋_GB2312"/>
          <w:color w:val="auto"/>
          <w:lang w:eastAsia="zh-CN"/>
        </w:rPr>
        <w:t>第四十条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临时建设工程规划许可</w:t>
      </w:r>
      <w:r>
        <w:rPr>
          <w:rFonts w:hint="eastAsia" w:ascii="仿宋_GB2312" w:hAnsi="仿宋_GB2312" w:eastAsia="仿宋_GB2312" w:cs="仿宋_GB2312"/>
          <w:color w:val="auto"/>
        </w:rPr>
        <w:t>】</w:t>
      </w:r>
      <w:bookmarkEnd w:id="295"/>
      <w:bookmarkEnd w:id="296"/>
      <w:bookmarkEnd w:id="297"/>
      <w:bookmarkEnd w:id="298"/>
      <w:bookmarkEnd w:id="299"/>
      <w:bookmarkEnd w:id="300"/>
      <w:r>
        <w:rPr>
          <w:rFonts w:hint="eastAsia" w:ascii="仿宋_GB2312" w:hAnsi="仿宋_GB2312" w:eastAsia="仿宋_GB2312" w:cs="仿宋_GB2312"/>
          <w:b w:val="0"/>
          <w:bCs/>
          <w:color w:val="auto"/>
          <w:sz w:val="32"/>
          <w:szCs w:val="32"/>
          <w:lang w:val="en-US" w:eastAsia="zh-CN"/>
        </w:rPr>
        <w:t>建设单位或者个人依法进行临时建设的，应当持使用土地的有关证明文件、建设项目相关批准文件、</w:t>
      </w:r>
      <w:r>
        <w:rPr>
          <w:rFonts w:hint="eastAsia" w:ascii="仿宋_GB2312" w:hAnsi="仿宋_GB2312" w:eastAsia="仿宋_GB2312" w:cs="仿宋_GB2312"/>
          <w:b w:val="0"/>
          <w:bCs/>
          <w:color w:val="auto"/>
          <w:kern w:val="0"/>
          <w:sz w:val="32"/>
          <w:szCs w:val="32"/>
        </w:rPr>
        <w:t>建设工程设计方案</w:t>
      </w:r>
      <w:r>
        <w:rPr>
          <w:rFonts w:hint="eastAsia" w:ascii="仿宋_GB2312" w:hAnsi="仿宋_GB2312" w:eastAsia="仿宋_GB2312" w:cs="仿宋_GB2312"/>
          <w:b w:val="0"/>
          <w:bCs/>
          <w:color w:val="auto"/>
          <w:sz w:val="32"/>
          <w:szCs w:val="32"/>
          <w:lang w:val="en-US" w:eastAsia="zh-CN"/>
        </w:rPr>
        <w:t>等材料，向市资源规划主管部门申请临时建设工程规划许可证。</w:t>
      </w:r>
    </w:p>
    <w:p>
      <w:pPr>
        <w:pageBreakBefore w:val="0"/>
        <w:widowControl/>
        <w:kinsoku/>
        <w:wordWrap/>
        <w:overflowPunct/>
        <w:topLinePunct w:val="0"/>
        <w:bidi w:val="0"/>
        <w:snapToGrid/>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临时建设工程规划许可证有效期不得超过二年；确需延期的，可以申请延期一次，延长期限不得超过二年。临时用地上的临时建设期限应当与临时用地期限相衔接。</w:t>
      </w:r>
    </w:p>
    <w:p>
      <w:pPr>
        <w:pageBreakBefore w:val="0"/>
        <w:widowControl/>
        <w:kinsoku/>
        <w:wordWrap/>
        <w:overflowPunct/>
        <w:topLinePunct w:val="0"/>
        <w:bidi w:val="0"/>
        <w:snapToGrid/>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临时建筑物不得超过两层，总高度不得超过七米，不得开发地下空间，并设置明显标识。</w:t>
      </w:r>
      <w:r>
        <w:rPr>
          <w:rFonts w:hint="eastAsia" w:ascii="仿宋_GB2312" w:hAnsi="仿宋_GB2312" w:eastAsia="仿宋_GB2312" w:cs="仿宋_GB2312"/>
          <w:color w:val="auto"/>
          <w:kern w:val="0"/>
          <w:sz w:val="32"/>
          <w:szCs w:val="32"/>
        </w:rPr>
        <w:t>临时建筑不得改变临时建设工程规划许可证确定的内容，不得办理不动产权属证书，不得转让、抵押。</w:t>
      </w:r>
    </w:p>
    <w:p>
      <w:pPr>
        <w:pageBreakBefore w:val="0"/>
        <w:widowControl/>
        <w:kinsoku/>
        <w:wordWrap/>
        <w:overflowPunct/>
        <w:topLinePunct w:val="0"/>
        <w:bidi w:val="0"/>
        <w:snapToGrid/>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临时建设工程规划许可证有效期满或者因国家建设需要收回的，建设单位或者个人应当负责无偿自行拆除。属于建设主体工程配套建设的，应当在主体工程申请规划验收之前拆除。</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rPr>
      </w:pPr>
      <w:bookmarkStart w:id="301" w:name="_Toc1088788200"/>
      <w:bookmarkStart w:id="302" w:name="_Toc168295212"/>
      <w:bookmarkStart w:id="303" w:name="_Toc225312128"/>
      <w:bookmarkStart w:id="304" w:name="_Toc215114220"/>
      <w:bookmarkStart w:id="305" w:name="_Toc1527242834"/>
      <w:bookmarkStart w:id="306" w:name="_Toc375352887"/>
      <w:r>
        <w:rPr>
          <w:rFonts w:hint="eastAsia" w:ascii="仿宋_GB2312" w:hAnsi="仿宋_GB2312" w:eastAsia="仿宋_GB2312" w:cs="仿宋_GB2312"/>
          <w:color w:val="auto"/>
          <w:lang w:eastAsia="zh-CN"/>
        </w:rPr>
        <w:t>第四十一条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建设工程规划许可分期</w:t>
      </w:r>
      <w:r>
        <w:rPr>
          <w:rFonts w:hint="eastAsia" w:ascii="仿宋_GB2312" w:hAnsi="仿宋_GB2312" w:eastAsia="仿宋_GB2312" w:cs="仿宋_GB2312"/>
          <w:color w:val="auto"/>
        </w:rPr>
        <w:t>】</w:t>
      </w:r>
      <w:bookmarkEnd w:id="301"/>
      <w:bookmarkEnd w:id="302"/>
      <w:bookmarkEnd w:id="303"/>
      <w:bookmarkEnd w:id="304"/>
      <w:bookmarkEnd w:id="305"/>
      <w:bookmarkEnd w:id="306"/>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市资源规划主管部门应当根据建设项目的性质、特点、规模等，制定</w:t>
      </w:r>
      <w:r>
        <w:rPr>
          <w:rFonts w:hint="eastAsia" w:ascii="仿宋_GB2312" w:hAnsi="仿宋_GB2312" w:eastAsia="仿宋_GB2312" w:cs="仿宋_GB2312"/>
          <w:b w:val="0"/>
          <w:bCs/>
          <w:color w:val="auto"/>
          <w:sz w:val="32"/>
          <w:szCs w:val="32"/>
        </w:rPr>
        <w:t>建设工程</w:t>
      </w:r>
      <w:r>
        <w:rPr>
          <w:rFonts w:hint="eastAsia" w:ascii="仿宋_GB2312" w:hAnsi="仿宋_GB2312" w:eastAsia="仿宋_GB2312" w:cs="仿宋_GB2312"/>
          <w:b w:val="0"/>
          <w:bCs/>
          <w:color w:val="auto"/>
          <w:sz w:val="32"/>
          <w:szCs w:val="32"/>
          <w:lang w:eastAsia="zh-CN"/>
        </w:rPr>
        <w:t>规划许可分期办理的规定。</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lang w:val="en-US" w:eastAsia="zh-CN"/>
        </w:rPr>
      </w:pPr>
      <w:bookmarkStart w:id="307" w:name="_Toc21442246"/>
      <w:bookmarkStart w:id="308" w:name="_Toc992082846"/>
      <w:bookmarkStart w:id="309" w:name="_Toc1452426068"/>
      <w:bookmarkStart w:id="310" w:name="_Toc901562935"/>
      <w:bookmarkStart w:id="311" w:name="_Toc165125198"/>
      <w:bookmarkStart w:id="312" w:name="_Toc15374533"/>
      <w:r>
        <w:rPr>
          <w:rFonts w:hint="eastAsia" w:ascii="仿宋_GB2312" w:hAnsi="仿宋_GB2312" w:eastAsia="仿宋_GB2312" w:cs="仿宋_GB2312"/>
          <w:color w:val="auto"/>
          <w:lang w:eastAsia="zh-CN"/>
        </w:rPr>
        <w:t>第四十二条</w:t>
      </w:r>
      <w:r>
        <w:rPr>
          <w:rFonts w:hint="eastAsia" w:ascii="仿宋_GB2312" w:hAnsi="仿宋_GB2312" w:eastAsia="仿宋_GB2312" w:cs="仿宋_GB2312"/>
          <w:color w:val="auto"/>
        </w:rPr>
        <w:t>【乡村建设规划许可】</w:t>
      </w:r>
      <w:bookmarkEnd w:id="294"/>
      <w:bookmarkEnd w:id="307"/>
      <w:bookmarkEnd w:id="308"/>
      <w:bookmarkEnd w:id="309"/>
      <w:bookmarkEnd w:id="310"/>
      <w:bookmarkEnd w:id="311"/>
      <w:bookmarkEnd w:id="312"/>
      <w:r>
        <w:rPr>
          <w:rFonts w:hint="eastAsia" w:ascii="仿宋_GB2312" w:hAnsi="仿宋_GB2312" w:eastAsia="仿宋_GB2312" w:cs="仿宋_GB2312"/>
          <w:b w:val="0"/>
          <w:bCs/>
          <w:color w:val="auto"/>
          <w:sz w:val="32"/>
          <w:szCs w:val="32"/>
          <w:lang w:val="en-US" w:eastAsia="zh-CN"/>
        </w:rPr>
        <w:t>集体建设用地范围区内使用集体所有土地进行乡镇企业、乡村公共设施、公益事业以及村民住宅建设的，建设单位或者个人应当依法办理乡村建设规划许可。</w:t>
      </w:r>
    </w:p>
    <w:p>
      <w:pPr>
        <w:pStyle w:val="14"/>
        <w:widowControl/>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农村村民建设</w:t>
      </w:r>
      <w:r>
        <w:rPr>
          <w:rFonts w:hint="eastAsia" w:ascii="仿宋_GB2312" w:hAnsi="仿宋_GB2312" w:eastAsia="仿宋_GB2312" w:cs="仿宋_GB2312"/>
          <w:color w:val="auto"/>
          <w:kern w:val="0"/>
          <w:sz w:val="32"/>
          <w:szCs w:val="32"/>
          <w:lang w:eastAsia="zh-CN"/>
        </w:rPr>
        <w:t>住宅</w:t>
      </w:r>
      <w:r>
        <w:rPr>
          <w:rFonts w:hint="eastAsia" w:ascii="仿宋_GB2312" w:hAnsi="仿宋_GB2312" w:eastAsia="仿宋_GB2312" w:cs="仿宋_GB2312"/>
          <w:color w:val="auto"/>
          <w:kern w:val="0"/>
          <w:sz w:val="32"/>
          <w:szCs w:val="32"/>
        </w:rPr>
        <w:t>应当符合村庄规划，尽量使用原有的宅基地和村内空闲土地。</w:t>
      </w:r>
      <w:r>
        <w:rPr>
          <w:rFonts w:hint="eastAsia" w:ascii="仿宋_GB2312" w:hAnsi="仿宋_GB2312" w:eastAsia="仿宋_GB2312" w:cs="仿宋_GB2312"/>
          <w:color w:val="auto"/>
          <w:sz w:val="32"/>
          <w:szCs w:val="32"/>
        </w:rPr>
        <w:t>对使用原有宅基地建设的村民住宅项目，经审查符合规划要求的，</w:t>
      </w:r>
      <w:r>
        <w:rPr>
          <w:rFonts w:hint="eastAsia" w:ascii="仿宋_GB2312" w:hAnsi="仿宋_GB2312" w:eastAsia="仿宋_GB2312" w:cs="仿宋_GB2312"/>
          <w:color w:val="auto"/>
          <w:kern w:val="0"/>
          <w:sz w:val="32"/>
          <w:szCs w:val="32"/>
          <w:lang w:eastAsia="zh-CN"/>
        </w:rPr>
        <w:t>镇</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（街道办事处）</w:t>
      </w:r>
      <w:r>
        <w:rPr>
          <w:rFonts w:hint="eastAsia" w:ascii="仿宋_GB2312" w:hAnsi="仿宋_GB2312" w:eastAsia="仿宋_GB2312" w:cs="仿宋_GB2312"/>
          <w:color w:val="auto"/>
          <w:sz w:val="32"/>
          <w:szCs w:val="32"/>
          <w:lang w:bidi="ar"/>
        </w:rPr>
        <w:t>核发乡村建设规划许可证。</w:t>
      </w:r>
      <w:r>
        <w:rPr>
          <w:rFonts w:hint="eastAsia" w:ascii="仿宋_GB2312" w:hAnsi="仿宋_GB2312" w:eastAsia="仿宋_GB2312" w:cs="仿宋_GB2312"/>
          <w:color w:val="auto"/>
          <w:sz w:val="32"/>
          <w:szCs w:val="32"/>
        </w:rPr>
        <w:t>其他建设项目，由</w:t>
      </w:r>
      <w:r>
        <w:rPr>
          <w:rFonts w:hint="eastAsia" w:ascii="仿宋_GB2312" w:hAnsi="仿宋_GB2312" w:eastAsia="仿宋_GB2312" w:cs="仿宋_GB2312"/>
          <w:color w:val="auto"/>
          <w:kern w:val="0"/>
          <w:sz w:val="32"/>
          <w:szCs w:val="32"/>
          <w:lang w:eastAsia="zh-CN"/>
        </w:rPr>
        <w:t>镇</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（街道办事处）</w:t>
      </w:r>
      <w:r>
        <w:rPr>
          <w:rFonts w:hint="eastAsia" w:ascii="仿宋_GB2312" w:hAnsi="仿宋_GB2312" w:eastAsia="仿宋_GB2312" w:cs="仿宋_GB2312"/>
          <w:color w:val="auto"/>
          <w:sz w:val="32"/>
          <w:szCs w:val="32"/>
        </w:rPr>
        <w:t>提出初审意见，报送</w:t>
      </w:r>
      <w:r>
        <w:rPr>
          <w:rFonts w:hint="eastAsia" w:ascii="仿宋_GB2312" w:hAnsi="仿宋_GB2312" w:eastAsia="仿宋_GB2312" w:cs="仿宋_GB2312"/>
          <w:color w:val="auto"/>
          <w:sz w:val="32"/>
          <w:szCs w:val="32"/>
          <w:lang w:eastAsia="zh-CN"/>
        </w:rPr>
        <w:t>市资源规划</w:t>
      </w:r>
      <w:r>
        <w:rPr>
          <w:rFonts w:hint="eastAsia" w:ascii="仿宋_GB2312" w:hAnsi="仿宋_GB2312" w:eastAsia="仿宋_GB2312" w:cs="仿宋_GB2312"/>
          <w:color w:val="auto"/>
          <w:sz w:val="32"/>
          <w:szCs w:val="32"/>
        </w:rPr>
        <w:t>主管部门审批。市</w:t>
      </w:r>
      <w:r>
        <w:rPr>
          <w:rFonts w:hint="eastAsia" w:ascii="仿宋_GB2312" w:hAnsi="仿宋_GB2312" w:eastAsia="仿宋_GB2312" w:cs="仿宋_GB2312"/>
          <w:color w:val="auto"/>
          <w:sz w:val="32"/>
          <w:szCs w:val="32"/>
          <w:lang w:eastAsia="zh-CN"/>
        </w:rPr>
        <w:t>资源规划</w:t>
      </w:r>
      <w:r>
        <w:rPr>
          <w:rFonts w:hint="eastAsia" w:ascii="仿宋_GB2312" w:hAnsi="仿宋_GB2312" w:eastAsia="仿宋_GB2312" w:cs="仿宋_GB2312"/>
          <w:color w:val="auto"/>
          <w:sz w:val="32"/>
          <w:szCs w:val="32"/>
        </w:rPr>
        <w:t>主管部门可依法委托相关部门核发。</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rPr>
      </w:pPr>
      <w:bookmarkStart w:id="313" w:name="_Toc2058163959"/>
      <w:bookmarkStart w:id="314" w:name="_Toc694447884"/>
      <w:bookmarkStart w:id="315" w:name="_Toc1767717575"/>
      <w:bookmarkStart w:id="316" w:name="_Toc1706448641"/>
      <w:bookmarkStart w:id="317" w:name="_Toc156054226"/>
      <w:bookmarkStart w:id="318" w:name="_Toc175341083"/>
      <w:r>
        <w:rPr>
          <w:rFonts w:hint="eastAsia" w:ascii="仿宋_GB2312" w:hAnsi="仿宋_GB2312" w:eastAsia="仿宋_GB2312" w:cs="仿宋_GB2312"/>
          <w:color w:val="auto"/>
          <w:lang w:eastAsia="zh-CN"/>
        </w:rPr>
        <w:t>第四十三条</w:t>
      </w:r>
      <w:r>
        <w:rPr>
          <w:rFonts w:hint="eastAsia" w:ascii="仿宋_GB2312" w:hAnsi="仿宋_GB2312" w:eastAsia="仿宋_GB2312" w:cs="仿宋_GB2312"/>
          <w:color w:val="auto"/>
        </w:rPr>
        <w:t>【规划许可延期】</w:t>
      </w:r>
      <w:bookmarkEnd w:id="313"/>
      <w:bookmarkEnd w:id="314"/>
      <w:bookmarkEnd w:id="315"/>
      <w:bookmarkEnd w:id="316"/>
      <w:bookmarkEnd w:id="317"/>
      <w:bookmarkEnd w:id="318"/>
      <w:r>
        <w:rPr>
          <w:rFonts w:hint="eastAsia" w:ascii="仿宋_GB2312" w:hAnsi="Times New Roman" w:eastAsia="仿宋_GB2312" w:cs="仿宋_GB2312"/>
          <w:b w:val="0"/>
          <w:bCs/>
          <w:color w:val="auto"/>
          <w:sz w:val="32"/>
          <w:szCs w:val="32"/>
          <w:lang w:val="en-US" w:eastAsia="zh-CN"/>
        </w:rPr>
        <w:t>规划许可</w:t>
      </w:r>
      <w:r>
        <w:rPr>
          <w:rFonts w:hint="eastAsia" w:ascii="仿宋_GB2312" w:hAnsi="Times New Roman" w:eastAsia="仿宋_GB2312" w:cs="仿宋_GB2312"/>
          <w:b w:val="0"/>
          <w:bCs/>
          <w:color w:val="auto"/>
          <w:sz w:val="32"/>
          <w:szCs w:val="32"/>
        </w:rPr>
        <w:t>确需延期的，建设单位或者个人可以在</w:t>
      </w:r>
      <w:r>
        <w:rPr>
          <w:rFonts w:hint="eastAsia" w:ascii="仿宋_GB2312" w:hAnsi="Times New Roman" w:eastAsia="仿宋_GB2312" w:cs="仿宋_GB2312"/>
          <w:b w:val="0"/>
          <w:bCs/>
          <w:color w:val="auto"/>
          <w:sz w:val="32"/>
          <w:szCs w:val="32"/>
          <w:lang w:val="en-US" w:eastAsia="zh-CN"/>
        </w:rPr>
        <w:t>许可</w:t>
      </w:r>
      <w:r>
        <w:rPr>
          <w:rFonts w:hint="eastAsia" w:ascii="仿宋_GB2312" w:hAnsi="Times New Roman" w:eastAsia="仿宋_GB2312" w:cs="仿宋_GB2312"/>
          <w:b w:val="0"/>
          <w:bCs/>
          <w:color w:val="auto"/>
          <w:sz w:val="32"/>
          <w:szCs w:val="32"/>
        </w:rPr>
        <w:t>规定期限届满三十日</w:t>
      </w:r>
      <w:r>
        <w:rPr>
          <w:rFonts w:hint="eastAsia" w:ascii="仿宋_GB2312" w:hAnsi="Times New Roman" w:eastAsia="仿宋_GB2312" w:cs="仿宋_GB2312"/>
          <w:b w:val="0"/>
          <w:bCs/>
          <w:color w:val="auto"/>
          <w:sz w:val="32"/>
          <w:szCs w:val="32"/>
          <w:lang w:val="en-US" w:eastAsia="zh-CN"/>
        </w:rPr>
        <w:t>前</w:t>
      </w:r>
      <w:r>
        <w:rPr>
          <w:rFonts w:hint="eastAsia" w:ascii="仿宋_GB2312" w:hAnsi="Times New Roman" w:eastAsia="仿宋_GB2312" w:cs="仿宋_GB2312"/>
          <w:b w:val="0"/>
          <w:bCs/>
          <w:color w:val="auto"/>
          <w:sz w:val="32"/>
          <w:szCs w:val="32"/>
        </w:rPr>
        <w:t>向原审批机关提出申请，经批准可以延期一次，延长期限不得超过一年。建设单位或者个人未在规定期限内办理相关手续，又未申请延期的，原用地预审与选址意见书、建设用地规划许可证、建设工程规划许可证、乡村建设规划许可证自行失效。</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Calibri" w:cs="仿宋_GB2312"/>
          <w:b w:val="0"/>
          <w:bCs/>
          <w:color w:val="auto"/>
          <w:kern w:val="0"/>
          <w:szCs w:val="32"/>
        </w:rPr>
      </w:pPr>
      <w:bookmarkStart w:id="319" w:name="_Toc237057198"/>
      <w:bookmarkStart w:id="320" w:name="_Toc902361655"/>
      <w:bookmarkStart w:id="321" w:name="_Toc1884910120"/>
      <w:bookmarkStart w:id="322" w:name="_Toc597313183"/>
      <w:bookmarkStart w:id="323" w:name="_Toc2046579825"/>
      <w:bookmarkStart w:id="324" w:name="_Toc1871018498"/>
      <w:bookmarkStart w:id="325" w:name="_Toc8852"/>
      <w:r>
        <w:rPr>
          <w:rFonts w:hint="eastAsia" w:ascii="仿宋_GB2312" w:hAnsi="仿宋_GB2312" w:eastAsia="仿宋_GB2312" w:cs="仿宋_GB2312"/>
          <w:color w:val="auto"/>
          <w:lang w:eastAsia="zh-CN"/>
        </w:rPr>
        <w:t>第四十四条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建设工程规划许可变更</w:t>
      </w:r>
      <w:r>
        <w:rPr>
          <w:rFonts w:hint="eastAsia" w:ascii="仿宋_GB2312" w:hAnsi="仿宋_GB2312" w:eastAsia="仿宋_GB2312" w:cs="仿宋_GB2312"/>
          <w:color w:val="auto"/>
        </w:rPr>
        <w:t>】</w:t>
      </w:r>
      <w:bookmarkEnd w:id="319"/>
      <w:bookmarkEnd w:id="320"/>
      <w:bookmarkEnd w:id="321"/>
      <w:bookmarkEnd w:id="322"/>
      <w:bookmarkEnd w:id="323"/>
      <w:bookmarkEnd w:id="324"/>
      <w:r>
        <w:rPr>
          <w:rFonts w:hint="eastAsia" w:ascii="仿宋_GB2312" w:hAnsi="仿宋_GB2312" w:eastAsia="仿宋_GB2312" w:cs="仿宋_GB2312"/>
          <w:b w:val="0"/>
          <w:bCs/>
          <w:i w:val="0"/>
          <w:iCs w:val="0"/>
          <w:caps w:val="0"/>
          <w:color w:val="auto"/>
          <w:spacing w:val="0"/>
          <w:sz w:val="32"/>
          <w:szCs w:val="32"/>
          <w:shd w:val="clear" w:fill="FFFFFF"/>
        </w:rPr>
        <w:t>建设单位或者个人需要变更建设工程规划许可进行建设的，必须在规划条件允许的范围内进行调整，变更后的内容不得违反规划条件</w:t>
      </w:r>
      <w:r>
        <w:rPr>
          <w:rFonts w:hint="eastAsia" w:ascii="仿宋_GB2312" w:hAnsi="仿宋_GB2312" w:eastAsia="仿宋_GB2312" w:cs="仿宋_GB2312"/>
          <w:b w:val="0"/>
          <w:bCs/>
          <w:i w:val="0"/>
          <w:iCs w:val="0"/>
          <w:caps w:val="0"/>
          <w:color w:val="auto"/>
          <w:spacing w:val="0"/>
          <w:sz w:val="32"/>
          <w:szCs w:val="32"/>
          <w:shd w:val="clear" w:fill="FFFFFF"/>
          <w:lang w:eastAsia="zh-CN"/>
        </w:rPr>
        <w:t>，</w:t>
      </w:r>
      <w:r>
        <w:rPr>
          <w:rFonts w:hint="eastAsia" w:ascii="仿宋_GB2312" w:hAnsi="仿宋_GB2312" w:eastAsia="仿宋_GB2312" w:cs="仿宋_GB2312"/>
          <w:b w:val="0"/>
          <w:bCs/>
          <w:i w:val="0"/>
          <w:iCs w:val="0"/>
          <w:caps w:val="0"/>
          <w:color w:val="auto"/>
          <w:spacing w:val="0"/>
          <w:sz w:val="32"/>
          <w:szCs w:val="32"/>
          <w:shd w:val="clear" w:fill="FFFFFF"/>
        </w:rPr>
        <w:t>报经原发证机关批准后，方可实施。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变更的内容涉及利害关系人合法权益的，市</w:t>
      </w:r>
      <w:r>
        <w:rPr>
          <w:rFonts w:hint="eastAsia" w:ascii="仿宋_GB2312" w:hAnsi="仿宋_GB2312" w:eastAsia="仿宋_GB2312" w:cs="仿宋_GB2312"/>
          <w:i w:val="0"/>
          <w:iCs w:val="0"/>
          <w:caps w:val="0"/>
          <w:color w:val="auto"/>
          <w:spacing w:val="0"/>
          <w:sz w:val="32"/>
          <w:szCs w:val="32"/>
          <w:shd w:val="clear" w:fill="FFFFFF"/>
          <w:lang w:val="en-US" w:eastAsia="zh-CN"/>
        </w:rPr>
        <w:t>资源</w:t>
      </w:r>
      <w:r>
        <w:rPr>
          <w:rFonts w:hint="eastAsia" w:ascii="仿宋_GB2312" w:hAnsi="仿宋_GB2312" w:eastAsia="仿宋_GB2312" w:cs="仿宋_GB2312"/>
          <w:i w:val="0"/>
          <w:iCs w:val="0"/>
          <w:caps w:val="0"/>
          <w:color w:val="auto"/>
          <w:spacing w:val="0"/>
          <w:sz w:val="32"/>
          <w:szCs w:val="32"/>
          <w:shd w:val="clear" w:fill="FFFFFF"/>
        </w:rPr>
        <w:t>规划主管部门应当采取听证等形式听取利害关系人意见。</w:t>
      </w:r>
    </w:p>
    <w:p>
      <w:pPr>
        <w:widowControl/>
        <w:spacing w:line="360" w:lineRule="auto"/>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分期建设的房地产项目建设工程设计方案修改涉及产权人的专有部分或者产权人所在建筑物的共有部分的，建设单位应当依照相关法律、法规的规定取得相关产权人的同意。</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i w:val="0"/>
          <w:iCs w:val="0"/>
          <w:caps w:val="0"/>
          <w:color w:val="auto"/>
          <w:spacing w:val="0"/>
          <w:sz w:val="32"/>
          <w:szCs w:val="32"/>
          <w:shd w:val="clear" w:fill="FFFFFF"/>
        </w:rPr>
      </w:pPr>
      <w:bookmarkStart w:id="326" w:name="_Toc1538503007"/>
      <w:bookmarkStart w:id="327" w:name="_Toc887554689"/>
      <w:bookmarkStart w:id="328" w:name="_Toc1810599112"/>
      <w:bookmarkStart w:id="329" w:name="_Toc1782520812"/>
      <w:bookmarkStart w:id="330" w:name="_Toc1545183056"/>
      <w:bookmarkStart w:id="331" w:name="_Toc55027728"/>
      <w:r>
        <w:rPr>
          <w:rFonts w:hint="eastAsia" w:ascii="仿宋_GB2312" w:hAnsi="仿宋_GB2312" w:eastAsia="仿宋_GB2312" w:cs="仿宋_GB2312"/>
          <w:color w:val="auto"/>
          <w:lang w:eastAsia="zh-CN"/>
        </w:rPr>
        <w:t>第四十五条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重点建设工程设计方案招标</w:t>
      </w:r>
      <w:r>
        <w:rPr>
          <w:rFonts w:hint="eastAsia" w:ascii="仿宋_GB2312" w:hAnsi="仿宋_GB2312" w:eastAsia="仿宋_GB2312" w:cs="仿宋_GB2312"/>
          <w:color w:val="auto"/>
        </w:rPr>
        <w:t>】</w:t>
      </w:r>
      <w:bookmarkEnd w:id="326"/>
      <w:bookmarkEnd w:id="327"/>
      <w:bookmarkEnd w:id="328"/>
      <w:bookmarkEnd w:id="329"/>
      <w:bookmarkEnd w:id="330"/>
      <w:bookmarkEnd w:id="331"/>
      <w:r>
        <w:rPr>
          <w:rFonts w:hint="eastAsia" w:ascii="仿宋_GB2312" w:hAnsi="仿宋_GB2312" w:eastAsia="仿宋_GB2312" w:cs="仿宋_GB2312"/>
          <w:b w:val="0"/>
          <w:bCs/>
          <w:i w:val="0"/>
          <w:iCs w:val="0"/>
          <w:caps w:val="0"/>
          <w:color w:val="auto"/>
          <w:spacing w:val="0"/>
          <w:sz w:val="32"/>
          <w:szCs w:val="32"/>
          <w:shd w:val="clear" w:fill="FFFFFF"/>
        </w:rPr>
        <w:t>对城市景观有特殊要求的重点建设工程，可以采取邀请招标的方式征集优秀设计方案。</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Times New Roman" w:eastAsia="仿宋_GB2312" w:cs="仿宋_GB2312"/>
          <w:color w:val="auto"/>
          <w:sz w:val="32"/>
          <w:szCs w:val="32"/>
        </w:rPr>
      </w:pPr>
      <w:bookmarkStart w:id="332" w:name="_Toc6586300"/>
      <w:bookmarkStart w:id="333" w:name="_Toc1504484778"/>
      <w:bookmarkStart w:id="334" w:name="_Toc429265496"/>
      <w:bookmarkStart w:id="335" w:name="_Toc1498497517"/>
      <w:bookmarkStart w:id="336" w:name="_Toc420050161"/>
      <w:bookmarkStart w:id="337" w:name="_Toc1297204541"/>
      <w:r>
        <w:rPr>
          <w:rFonts w:hint="eastAsia" w:ascii="仿宋_GB2312" w:hAnsi="仿宋_GB2312" w:eastAsia="仿宋_GB2312" w:cs="仿宋_GB2312"/>
          <w:color w:val="auto"/>
          <w:lang w:eastAsia="zh-CN"/>
        </w:rPr>
        <w:t>第四十六条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规划许可公告牌</w:t>
      </w:r>
      <w:r>
        <w:rPr>
          <w:rFonts w:hint="eastAsia" w:ascii="仿宋_GB2312" w:hAnsi="仿宋_GB2312" w:eastAsia="仿宋_GB2312" w:cs="仿宋_GB2312"/>
          <w:color w:val="auto"/>
        </w:rPr>
        <w:t>】</w:t>
      </w:r>
      <w:bookmarkEnd w:id="332"/>
      <w:bookmarkEnd w:id="333"/>
      <w:bookmarkEnd w:id="334"/>
      <w:bookmarkEnd w:id="335"/>
      <w:bookmarkEnd w:id="336"/>
      <w:bookmarkEnd w:id="337"/>
      <w:r>
        <w:rPr>
          <w:rFonts w:hint="eastAsia" w:ascii="仿宋_GB2312" w:hAnsi="Times New Roman" w:eastAsia="仿宋_GB2312" w:cs="仿宋_GB2312"/>
          <w:b w:val="0"/>
          <w:bCs/>
          <w:color w:val="auto"/>
          <w:sz w:val="32"/>
          <w:szCs w:val="32"/>
        </w:rPr>
        <w:t>建设单位或者个人在建设工程开工前，应当在施工现场设立建设工程规划许可公告牌</w:t>
      </w:r>
      <w:r>
        <w:rPr>
          <w:rFonts w:hint="eastAsia" w:ascii="仿宋_GB2312" w:hAnsi="Times New Roman" w:eastAsia="仿宋_GB2312" w:cs="仿宋_GB2312"/>
          <w:b w:val="0"/>
          <w:bCs/>
          <w:color w:val="auto"/>
          <w:sz w:val="32"/>
          <w:szCs w:val="32"/>
          <w:lang w:eastAsia="zh-CN"/>
        </w:rPr>
        <w:t>，</w:t>
      </w:r>
      <w:r>
        <w:rPr>
          <w:rFonts w:hint="eastAsia" w:ascii="仿宋_GB2312" w:hAnsi="Times New Roman" w:eastAsia="仿宋_GB2312" w:cs="仿宋_GB2312"/>
          <w:b w:val="0"/>
          <w:bCs/>
          <w:color w:val="auto"/>
          <w:sz w:val="32"/>
          <w:szCs w:val="32"/>
        </w:rPr>
        <w:t>对外公示建设工程规划许可证</w:t>
      </w:r>
      <w:r>
        <w:rPr>
          <w:rFonts w:hint="eastAsia" w:ascii="仿宋_GB2312" w:hAnsi="Times New Roman" w:eastAsia="仿宋_GB2312" w:cs="仿宋_GB2312"/>
          <w:b w:val="0"/>
          <w:bCs/>
          <w:color w:val="auto"/>
          <w:sz w:val="32"/>
          <w:szCs w:val="32"/>
          <w:lang w:eastAsia="zh-CN"/>
        </w:rPr>
        <w:t>以</w:t>
      </w:r>
      <w:r>
        <w:rPr>
          <w:rFonts w:hint="eastAsia" w:ascii="仿宋_GB2312" w:hAnsi="Times New Roman" w:eastAsia="仿宋_GB2312" w:cs="仿宋_GB2312"/>
          <w:b w:val="0"/>
          <w:bCs/>
          <w:color w:val="auto"/>
          <w:sz w:val="32"/>
          <w:szCs w:val="32"/>
        </w:rPr>
        <w:t>及建设工程设计方案总平面图，</w:t>
      </w:r>
      <w:r>
        <w:rPr>
          <w:rFonts w:hint="eastAsia" w:ascii="仿宋_GB2312" w:hAnsi="Times New Roman" w:eastAsia="仿宋_GB2312" w:cs="仿宋_GB2312"/>
          <w:b w:val="0"/>
          <w:bCs/>
          <w:color w:val="auto"/>
          <w:sz w:val="32"/>
          <w:szCs w:val="32"/>
          <w:lang w:val="en-US" w:eastAsia="zh-CN"/>
        </w:rPr>
        <w:t>或者张贴公示乡村建设规划许可证及其附图，接受社会监督，但法律法规规定不得公开的除外。</w:t>
      </w:r>
      <w:r>
        <w:rPr>
          <w:rFonts w:hint="eastAsia" w:ascii="仿宋_GB2312" w:hAnsi="Times New Roman" w:eastAsia="仿宋_GB2312" w:cs="仿宋_GB2312"/>
          <w:b w:val="0"/>
          <w:bCs/>
          <w:color w:val="auto"/>
          <w:sz w:val="32"/>
          <w:szCs w:val="32"/>
        </w:rPr>
        <w:t>在建设工程竣工验收前，</w:t>
      </w:r>
      <w:r>
        <w:rPr>
          <w:rFonts w:hint="eastAsia" w:ascii="仿宋_GB2312" w:hAnsi="Times New Roman" w:eastAsia="仿宋_GB2312" w:cs="仿宋_GB2312"/>
          <w:b w:val="0"/>
          <w:bCs/>
          <w:color w:val="auto"/>
          <w:sz w:val="32"/>
          <w:szCs w:val="32"/>
          <w:lang w:val="en-US" w:eastAsia="zh-CN"/>
        </w:rPr>
        <w:t>需</w:t>
      </w:r>
      <w:r>
        <w:rPr>
          <w:rFonts w:hint="eastAsia" w:ascii="仿宋_GB2312" w:hAnsi="Times New Roman" w:eastAsia="仿宋_GB2312" w:cs="仿宋_GB2312"/>
          <w:b w:val="0"/>
          <w:bCs/>
          <w:color w:val="auto"/>
          <w:sz w:val="32"/>
          <w:szCs w:val="32"/>
        </w:rPr>
        <w:t>保持公告牌及其内容的完整。</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eastAsia="仿宋_GB2312" w:cs="仿宋_GB2312"/>
          <w:color w:val="auto"/>
          <w:sz w:val="32"/>
          <w:szCs w:val="32"/>
        </w:rPr>
      </w:pPr>
      <w:bookmarkStart w:id="338" w:name="_Toc1736534232"/>
      <w:bookmarkStart w:id="339" w:name="_Toc1021632148"/>
      <w:bookmarkStart w:id="340" w:name="_Toc1408132174"/>
      <w:bookmarkStart w:id="341" w:name="_Toc774009047"/>
      <w:bookmarkStart w:id="342" w:name="_Toc1522754701"/>
      <w:bookmarkStart w:id="343" w:name="_Toc1339193606"/>
      <w:r>
        <w:rPr>
          <w:rFonts w:hint="eastAsia" w:ascii="仿宋_GB2312" w:hAnsi="仿宋_GB2312" w:eastAsia="仿宋_GB2312" w:cs="仿宋_GB2312"/>
          <w:color w:val="auto"/>
          <w:lang w:eastAsia="zh-CN"/>
        </w:rPr>
        <w:t>第四十七条</w:t>
      </w:r>
      <w:r>
        <w:rPr>
          <w:rFonts w:hint="eastAsia" w:ascii="仿宋_GB2312" w:hAnsi="仿宋_GB2312" w:eastAsia="仿宋_GB2312" w:cs="仿宋_GB2312"/>
          <w:color w:val="auto"/>
        </w:rPr>
        <w:t>【施工验线】</w:t>
      </w:r>
      <w:bookmarkEnd w:id="325"/>
      <w:bookmarkEnd w:id="338"/>
      <w:bookmarkEnd w:id="339"/>
      <w:bookmarkEnd w:id="340"/>
      <w:bookmarkEnd w:id="341"/>
      <w:bookmarkEnd w:id="342"/>
      <w:bookmarkEnd w:id="343"/>
      <w:bookmarkStart w:id="344" w:name="_Toc12941"/>
      <w:r>
        <w:rPr>
          <w:rFonts w:hint="eastAsia" w:ascii="仿宋_GB2312" w:eastAsia="仿宋_GB2312" w:cs="仿宋_GB2312"/>
          <w:b w:val="0"/>
          <w:bCs/>
          <w:color w:val="auto"/>
          <w:sz w:val="32"/>
          <w:szCs w:val="32"/>
        </w:rPr>
        <w:t>建设单位或者个人在建设项目开工建设前，必须实施建筑物放线。建筑工程的基础施工达到设计标高时，建设单位或者个人应当通知原放线单位进行复测，复测结果符合规划要求的，建设单位方可继续建设。</w:t>
      </w:r>
    </w:p>
    <w:p>
      <w:pPr>
        <w:pageBreakBefore w:val="0"/>
        <w:kinsoku/>
        <w:wordWrap/>
        <w:overflowPunct/>
        <w:topLinePunct w:val="0"/>
        <w:bidi w:val="0"/>
        <w:snapToGrid/>
        <w:spacing w:line="360" w:lineRule="auto"/>
        <w:ind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村</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居</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民在村庄内进行住宅建设的，市资源规划主管部门可以委托项目所在</w:t>
      </w:r>
      <w:r>
        <w:rPr>
          <w:rFonts w:hint="eastAsia" w:ascii="仿宋_GB2312" w:eastAsia="仿宋_GB2312" w:cs="仿宋_GB2312"/>
          <w:color w:val="auto"/>
          <w:sz w:val="32"/>
          <w:szCs w:val="32"/>
          <w:lang w:eastAsia="zh-CN"/>
        </w:rPr>
        <w:t>镇人民政府（街道办事处）</w:t>
      </w:r>
      <w:r>
        <w:rPr>
          <w:rFonts w:hint="eastAsia" w:ascii="仿宋_GB2312" w:eastAsia="仿宋_GB2312" w:cs="仿宋_GB2312"/>
          <w:color w:val="auto"/>
          <w:sz w:val="32"/>
          <w:szCs w:val="32"/>
        </w:rPr>
        <w:t>进行开工前的验线工作。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sz w:val="32"/>
          <w:szCs w:val="32"/>
        </w:rPr>
      </w:pPr>
      <w:bookmarkStart w:id="345" w:name="_Toc1730803543"/>
      <w:bookmarkStart w:id="346" w:name="_Toc120518046"/>
      <w:bookmarkStart w:id="347" w:name="_Toc124657281"/>
      <w:bookmarkStart w:id="348" w:name="_Toc286846028"/>
      <w:bookmarkStart w:id="349" w:name="_Toc1033212959"/>
      <w:bookmarkStart w:id="350" w:name="_Toc315486547"/>
      <w:r>
        <w:rPr>
          <w:rFonts w:hint="eastAsia" w:ascii="仿宋_GB2312" w:hAnsi="仿宋_GB2312" w:eastAsia="仿宋_GB2312" w:cs="仿宋_GB2312"/>
          <w:color w:val="auto"/>
          <w:lang w:eastAsia="zh-CN"/>
        </w:rPr>
        <w:t>第四十八条</w:t>
      </w:r>
      <w:r>
        <w:rPr>
          <w:rFonts w:hint="eastAsia" w:ascii="仿宋_GB2312" w:hAnsi="仿宋_GB2312" w:eastAsia="仿宋_GB2312" w:cs="仿宋_GB2312"/>
          <w:color w:val="auto"/>
        </w:rPr>
        <w:t>【规划条件核实与土地核验】</w:t>
      </w:r>
      <w:bookmarkEnd w:id="344"/>
      <w:bookmarkEnd w:id="345"/>
      <w:bookmarkEnd w:id="346"/>
      <w:bookmarkEnd w:id="347"/>
      <w:bookmarkEnd w:id="348"/>
      <w:bookmarkEnd w:id="349"/>
      <w:bookmarkEnd w:id="350"/>
      <w:bookmarkStart w:id="351" w:name="_Toc26981"/>
      <w:r>
        <w:rPr>
          <w:rFonts w:hint="eastAsia" w:ascii="仿宋_GB2312" w:hAnsi="仿宋_GB2312" w:eastAsia="仿宋_GB2312" w:cs="仿宋_GB2312"/>
          <w:b w:val="0"/>
          <w:bCs/>
          <w:color w:val="auto"/>
          <w:sz w:val="32"/>
          <w:szCs w:val="32"/>
          <w:lang w:eastAsia="zh-CN"/>
        </w:rPr>
        <w:t>项目建设完成后应当办理</w:t>
      </w:r>
      <w:r>
        <w:rPr>
          <w:rFonts w:hint="eastAsia" w:ascii="仿宋_GB2312" w:hAnsi="仿宋_GB2312" w:eastAsia="仿宋_GB2312" w:cs="仿宋_GB2312"/>
          <w:b w:val="0"/>
          <w:bCs/>
          <w:color w:val="auto"/>
          <w:sz w:val="32"/>
          <w:szCs w:val="32"/>
        </w:rPr>
        <w:t>规划条件核实与土地核验</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分期办理规划条件核实与土地核验的建设项目，应</w:t>
      </w:r>
      <w:r>
        <w:rPr>
          <w:rFonts w:hint="eastAsia" w:ascii="仿宋_GB2312" w:hAnsi="仿宋_GB2312" w:eastAsia="仿宋_GB2312" w:cs="仿宋_GB2312"/>
          <w:b w:val="0"/>
          <w:bCs/>
          <w:color w:val="auto"/>
          <w:sz w:val="32"/>
          <w:szCs w:val="32"/>
          <w:lang w:eastAsia="zh-CN"/>
        </w:rPr>
        <w:t>当</w:t>
      </w:r>
      <w:r>
        <w:rPr>
          <w:rFonts w:hint="eastAsia" w:ascii="仿宋_GB2312" w:hAnsi="仿宋_GB2312" w:eastAsia="仿宋_GB2312" w:cs="仿宋_GB2312"/>
          <w:b w:val="0"/>
          <w:bCs/>
          <w:color w:val="auto"/>
          <w:sz w:val="32"/>
          <w:szCs w:val="32"/>
        </w:rPr>
        <w:t>符合分期办理的相关规定。</w:t>
      </w:r>
      <w:r>
        <w:rPr>
          <w:rFonts w:hint="eastAsia" w:ascii="仿宋_GB2312" w:hAnsi="仿宋_GB2312" w:eastAsia="仿宋_GB2312" w:cs="仿宋_GB2312"/>
          <w:b w:val="0"/>
          <w:bCs/>
          <w:i w:val="0"/>
          <w:iCs w:val="0"/>
          <w:caps w:val="0"/>
          <w:color w:val="auto"/>
          <w:spacing w:val="0"/>
          <w:sz w:val="32"/>
          <w:szCs w:val="32"/>
          <w:shd w:val="clear" w:fill="FFFFFF"/>
        </w:rPr>
        <w:t>未取得规划条件核实</w:t>
      </w:r>
      <w:r>
        <w:rPr>
          <w:rFonts w:hint="eastAsia" w:ascii="仿宋_GB2312" w:hAnsi="仿宋_GB2312" w:eastAsia="仿宋_GB2312" w:cs="仿宋_GB2312"/>
          <w:b w:val="0"/>
          <w:bCs/>
          <w:i w:val="0"/>
          <w:iCs w:val="0"/>
          <w:caps w:val="0"/>
          <w:color w:val="auto"/>
          <w:spacing w:val="0"/>
          <w:sz w:val="32"/>
          <w:szCs w:val="32"/>
          <w:shd w:val="clear" w:fill="FFFFFF"/>
          <w:lang w:eastAsia="zh-CN"/>
        </w:rPr>
        <w:t>与土地核验</w:t>
      </w:r>
      <w:r>
        <w:rPr>
          <w:rFonts w:hint="eastAsia" w:ascii="仿宋_GB2312" w:hAnsi="仿宋_GB2312" w:eastAsia="仿宋_GB2312" w:cs="仿宋_GB2312"/>
          <w:b w:val="0"/>
          <w:bCs/>
          <w:i w:val="0"/>
          <w:iCs w:val="0"/>
          <w:caps w:val="0"/>
          <w:color w:val="auto"/>
          <w:spacing w:val="0"/>
          <w:sz w:val="32"/>
          <w:szCs w:val="32"/>
          <w:shd w:val="clear" w:fill="FFFFFF"/>
        </w:rPr>
        <w:t>意见的建设项目，</w:t>
      </w:r>
      <w:r>
        <w:rPr>
          <w:rFonts w:hint="eastAsia" w:ascii="仿宋_GB2312" w:hAnsi="仿宋_GB2312" w:eastAsia="仿宋_GB2312" w:cs="仿宋_GB2312"/>
          <w:b w:val="0"/>
          <w:bCs/>
          <w:color w:val="auto"/>
          <w:sz w:val="32"/>
          <w:szCs w:val="32"/>
        </w:rPr>
        <w:t>建设单位和个人不得组织竣工验收</w:t>
      </w:r>
      <w:r>
        <w:rPr>
          <w:rFonts w:hint="eastAsia" w:ascii="仿宋_GB2312" w:hAnsi="仿宋_GB2312" w:eastAsia="仿宋_GB2312" w:cs="仿宋_GB2312"/>
          <w:b w:val="0"/>
          <w:bCs/>
          <w:color w:val="auto"/>
          <w:sz w:val="32"/>
          <w:szCs w:val="32"/>
          <w:lang w:eastAsia="zh-CN"/>
        </w:rPr>
        <w:t>，不予办理竣工验收备案。</w:t>
      </w:r>
      <w:r>
        <w:rPr>
          <w:rFonts w:hint="eastAsia" w:ascii="仿宋_GB2312" w:hAnsi="仿宋_GB2312" w:eastAsia="仿宋_GB2312" w:cs="仿宋_GB2312"/>
          <w:b w:val="0"/>
          <w:bCs/>
          <w:color w:val="auto"/>
          <w:sz w:val="32"/>
          <w:szCs w:val="32"/>
          <w:lang w:val="en-US" w:eastAsia="zh-CN"/>
        </w:rPr>
        <w:t>财政投融资项目未经规划条件与土地核验或者验收不合格的，财政主管部门不得安排项目决算。</w:t>
      </w:r>
    </w:p>
    <w:p>
      <w:pPr>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村（居）民在村庄内建设住宅完工后，应当向住宅所在地的</w:t>
      </w:r>
      <w:r>
        <w:rPr>
          <w:rFonts w:hint="eastAsia" w:ascii="仿宋_GB2312" w:hAnsi="仿宋_GB2312" w:eastAsia="仿宋_GB2312" w:cs="仿宋_GB2312"/>
          <w:color w:val="auto"/>
          <w:sz w:val="32"/>
          <w:szCs w:val="32"/>
          <w:lang w:eastAsia="zh-CN"/>
        </w:rPr>
        <w:t>镇人民政府（街道办事处）</w:t>
      </w:r>
      <w:r>
        <w:rPr>
          <w:rFonts w:hint="eastAsia" w:ascii="仿宋_GB2312" w:hAnsi="仿宋_GB2312" w:eastAsia="仿宋_GB2312" w:cs="仿宋_GB2312"/>
          <w:color w:val="auto"/>
          <w:sz w:val="32"/>
          <w:szCs w:val="32"/>
        </w:rPr>
        <w:t>申请规划条件核实与土地核验。项目所在</w:t>
      </w:r>
      <w:r>
        <w:rPr>
          <w:rFonts w:hint="eastAsia" w:ascii="仿宋_GB2312" w:hAnsi="仿宋_GB2312" w:eastAsia="仿宋_GB2312" w:cs="仿宋_GB2312"/>
          <w:color w:val="auto"/>
          <w:sz w:val="32"/>
          <w:szCs w:val="32"/>
          <w:lang w:eastAsia="zh-CN"/>
        </w:rPr>
        <w:t>镇人民政府（街道办事处）</w:t>
      </w:r>
      <w:r>
        <w:rPr>
          <w:rFonts w:hint="eastAsia" w:ascii="仿宋_GB2312" w:hAnsi="仿宋_GB2312" w:eastAsia="仿宋_GB2312" w:cs="仿宋_GB2312"/>
          <w:color w:val="auto"/>
          <w:sz w:val="32"/>
          <w:szCs w:val="32"/>
        </w:rPr>
        <w:t>应当组织相关部门进行验收。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eastAsia="仿宋_GB2312" w:cs="仿宋_GB2312"/>
          <w:color w:val="auto"/>
          <w:sz w:val="32"/>
          <w:szCs w:val="32"/>
        </w:rPr>
      </w:pPr>
      <w:bookmarkStart w:id="352" w:name="_Toc1521310253"/>
      <w:bookmarkStart w:id="353" w:name="_Toc1819959883"/>
      <w:bookmarkStart w:id="354" w:name="_Toc1551598991"/>
      <w:bookmarkStart w:id="355" w:name="_Toc5866515"/>
      <w:bookmarkStart w:id="356" w:name="_Toc1105358214"/>
      <w:bookmarkStart w:id="357" w:name="_Toc1525728828"/>
      <w:r>
        <w:rPr>
          <w:rFonts w:hint="eastAsia" w:ascii="仿宋_GB2312" w:hAnsi="仿宋_GB2312" w:eastAsia="仿宋_GB2312" w:cs="仿宋_GB2312"/>
          <w:color w:val="auto"/>
          <w:lang w:eastAsia="zh-CN"/>
        </w:rPr>
        <w:t>第四十九条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竣工验收后变更建筑功能</w:t>
      </w:r>
      <w:r>
        <w:rPr>
          <w:rFonts w:hint="eastAsia" w:ascii="仿宋_GB2312" w:hAnsi="仿宋_GB2312" w:eastAsia="仿宋_GB2312" w:cs="仿宋_GB2312"/>
          <w:color w:val="auto"/>
        </w:rPr>
        <w:t>】</w:t>
      </w:r>
      <w:bookmarkEnd w:id="352"/>
      <w:bookmarkEnd w:id="353"/>
      <w:bookmarkEnd w:id="354"/>
      <w:bookmarkEnd w:id="355"/>
      <w:bookmarkEnd w:id="356"/>
      <w:bookmarkEnd w:id="357"/>
      <w:r>
        <w:rPr>
          <w:rFonts w:hint="eastAsia" w:ascii="仿宋_GB2312" w:eastAsia="仿宋_GB2312" w:cs="仿宋_GB2312"/>
          <w:b w:val="0"/>
          <w:bCs/>
          <w:color w:val="auto"/>
          <w:sz w:val="32"/>
          <w:szCs w:val="32"/>
        </w:rPr>
        <w:t>建设工程竣工验收后，未经</w:t>
      </w:r>
      <w:r>
        <w:rPr>
          <w:rFonts w:hint="eastAsia" w:ascii="仿宋_GB2312" w:eastAsia="仿宋_GB2312" w:cs="仿宋_GB2312"/>
          <w:b w:val="0"/>
          <w:bCs/>
          <w:color w:val="auto"/>
          <w:sz w:val="32"/>
          <w:szCs w:val="32"/>
          <w:lang w:eastAsia="zh-CN"/>
        </w:rPr>
        <w:t>资源规划主管部门</w:t>
      </w:r>
      <w:r>
        <w:rPr>
          <w:rFonts w:hint="eastAsia" w:ascii="仿宋_GB2312" w:eastAsia="仿宋_GB2312" w:cs="仿宋_GB2312"/>
          <w:b w:val="0"/>
          <w:bCs/>
          <w:color w:val="auto"/>
          <w:sz w:val="32"/>
          <w:szCs w:val="32"/>
        </w:rPr>
        <w:t>许可，任何单位和个人不得擅自</w:t>
      </w:r>
      <w:r>
        <w:rPr>
          <w:rFonts w:hint="eastAsia" w:ascii="仿宋_GB2312" w:hAnsi="仿宋_GB2312" w:eastAsia="仿宋_GB2312" w:cs="仿宋_GB2312"/>
          <w:b w:val="0"/>
          <w:bCs/>
          <w:i w:val="0"/>
          <w:iCs w:val="0"/>
          <w:caps w:val="0"/>
          <w:color w:val="auto"/>
          <w:spacing w:val="0"/>
          <w:sz w:val="32"/>
          <w:szCs w:val="32"/>
          <w:shd w:val="clear" w:fill="FFFFFF"/>
        </w:rPr>
        <w:t>改建、扩建或</w:t>
      </w:r>
      <w:r>
        <w:rPr>
          <w:rFonts w:hint="eastAsia" w:ascii="仿宋_GB2312" w:eastAsia="仿宋_GB2312" w:cs="仿宋_GB2312"/>
          <w:b w:val="0"/>
          <w:bCs/>
          <w:color w:val="auto"/>
          <w:sz w:val="32"/>
          <w:szCs w:val="32"/>
        </w:rPr>
        <w:t>改变建筑物、构筑物和其他设施使用功能。</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确因社会经济发展、产业布局和区域功能调整需要</w:t>
      </w:r>
      <w:r>
        <w:rPr>
          <w:rFonts w:hint="eastAsia" w:ascii="仿宋_GB2312" w:hAnsi="仿宋_GB2312" w:eastAsia="仿宋_GB2312" w:cs="仿宋_GB2312"/>
          <w:b w:val="0"/>
          <w:bCs/>
          <w:i w:val="0"/>
          <w:iCs w:val="0"/>
          <w:caps w:val="0"/>
          <w:color w:val="auto"/>
          <w:spacing w:val="0"/>
          <w:sz w:val="32"/>
          <w:szCs w:val="32"/>
          <w:shd w:val="clear" w:fill="FFFFFF"/>
        </w:rPr>
        <w:t>改建、扩建或</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改变建筑物用途的，应当符合有关规定，且不影响建筑物安全使用和不侵害他人合法权益，</w:t>
      </w:r>
      <w:r>
        <w:rPr>
          <w:rFonts w:hint="eastAsia" w:ascii="仿宋_GB2312" w:eastAsia="仿宋_GB2312" w:cs="仿宋_GB2312"/>
          <w:b w:val="0"/>
          <w:bCs/>
          <w:color w:val="auto"/>
          <w:sz w:val="32"/>
          <w:szCs w:val="32"/>
        </w:rPr>
        <w:t>按</w:t>
      </w:r>
      <w:r>
        <w:rPr>
          <w:rFonts w:hint="eastAsia" w:ascii="仿宋_GB2312" w:eastAsia="仿宋_GB2312" w:cs="仿宋_GB2312"/>
          <w:b w:val="0"/>
          <w:bCs/>
          <w:color w:val="auto"/>
          <w:sz w:val="32"/>
          <w:szCs w:val="32"/>
          <w:lang w:val="en-US" w:eastAsia="zh-CN"/>
        </w:rPr>
        <w:t>程序办理</w:t>
      </w:r>
      <w:r>
        <w:rPr>
          <w:rFonts w:hint="eastAsia" w:ascii="仿宋_GB2312" w:eastAsia="仿宋_GB2312" w:cs="仿宋_GB2312"/>
          <w:b w:val="0"/>
          <w:bCs/>
          <w:color w:val="auto"/>
          <w:sz w:val="32"/>
          <w:szCs w:val="32"/>
        </w:rPr>
        <w:t>规划许可。</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rPr>
      </w:pPr>
      <w:bookmarkStart w:id="358" w:name="_Toc1726858109"/>
      <w:bookmarkStart w:id="359" w:name="_Toc549523022"/>
      <w:bookmarkStart w:id="360" w:name="_Toc2040269457"/>
      <w:bookmarkStart w:id="361" w:name="_Toc1116146203"/>
      <w:bookmarkStart w:id="362" w:name="_Toc1228403772"/>
      <w:bookmarkStart w:id="363" w:name="_Toc807264895"/>
      <w:r>
        <w:rPr>
          <w:rFonts w:hint="eastAsia" w:ascii="仿宋_GB2312" w:hAnsi="仿宋_GB2312" w:eastAsia="仿宋_GB2312" w:cs="仿宋_GB2312"/>
          <w:color w:val="auto"/>
          <w:lang w:eastAsia="zh-CN"/>
        </w:rPr>
        <w:t>第五十条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审批制度改革</w:t>
      </w:r>
      <w:r>
        <w:rPr>
          <w:rFonts w:hint="eastAsia" w:ascii="仿宋_GB2312" w:hAnsi="仿宋_GB2312" w:eastAsia="仿宋_GB2312" w:cs="仿宋_GB2312"/>
          <w:color w:val="auto"/>
        </w:rPr>
        <w:t>】</w:t>
      </w:r>
      <w:bookmarkEnd w:id="358"/>
      <w:bookmarkEnd w:id="359"/>
      <w:bookmarkEnd w:id="360"/>
      <w:bookmarkEnd w:id="361"/>
      <w:bookmarkEnd w:id="362"/>
      <w:bookmarkEnd w:id="363"/>
      <w:r>
        <w:rPr>
          <w:rFonts w:hint="eastAsia" w:ascii="仿宋_GB2312" w:eastAsia="仿宋_GB2312" w:cs="仿宋_GB2312"/>
          <w:b w:val="0"/>
          <w:bCs/>
          <w:color w:val="auto"/>
          <w:sz w:val="32"/>
          <w:szCs w:val="32"/>
          <w:lang w:val="en-US" w:eastAsia="zh-CN"/>
        </w:rPr>
        <w:t>深化建设项目审批制度改革，在全市推行建设项目策划生成阶段“多规合一”业务协同工作机制，探索优化审批程序环节，推行告知承诺制、“多审合一”“多验合一”“多测合一”等优化审批程序事项，提升国土空间规划实施效率。</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default" w:ascii="仿宋_GB2312" w:hAnsi="仿宋_GB2312" w:eastAsia="仿宋_GB2312" w:cs="仿宋_GB2312"/>
          <w:color w:val="auto"/>
          <w:kern w:val="0"/>
          <w:sz w:val="32"/>
          <w:szCs w:val="32"/>
          <w:shd w:val="clear" w:color="auto" w:fill="FFFFFF"/>
          <w:lang w:val="en-US" w:eastAsia="zh-CN"/>
        </w:rPr>
      </w:pPr>
      <w:bookmarkStart w:id="364" w:name="_Toc199828897"/>
      <w:bookmarkStart w:id="365" w:name="_Toc1541762233"/>
      <w:bookmarkStart w:id="366" w:name="_Toc1449039874"/>
      <w:bookmarkStart w:id="367" w:name="_Toc167415201"/>
      <w:bookmarkStart w:id="368" w:name="_Toc1124890468"/>
      <w:bookmarkStart w:id="369" w:name="_Toc37630583"/>
      <w:r>
        <w:rPr>
          <w:rFonts w:hint="eastAsia" w:ascii="仿宋_GB2312" w:hAnsi="仿宋_GB2312" w:eastAsia="仿宋_GB2312" w:cs="仿宋_GB2312"/>
          <w:color w:val="auto"/>
          <w:lang w:eastAsia="zh-CN"/>
        </w:rPr>
        <w:t>第五十一条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建设项目规划监管</w:t>
      </w:r>
      <w:r>
        <w:rPr>
          <w:rFonts w:hint="eastAsia" w:ascii="仿宋_GB2312" w:hAnsi="仿宋_GB2312" w:eastAsia="仿宋_GB2312" w:cs="仿宋_GB2312"/>
          <w:color w:val="auto"/>
        </w:rPr>
        <w:t>】</w:t>
      </w:r>
      <w:bookmarkEnd w:id="364"/>
      <w:bookmarkEnd w:id="365"/>
      <w:bookmarkEnd w:id="366"/>
      <w:bookmarkEnd w:id="367"/>
      <w:bookmarkEnd w:id="368"/>
      <w:bookmarkEnd w:id="369"/>
      <w:r>
        <w:rPr>
          <w:rFonts w:hint="eastAsia" w:ascii="仿宋_GB2312" w:hAnsi="仿宋_GB2312" w:eastAsia="仿宋_GB2312" w:cs="仿宋_GB2312"/>
          <w:b w:val="0"/>
          <w:bCs/>
          <w:color w:val="auto"/>
          <w:kern w:val="0"/>
          <w:sz w:val="32"/>
          <w:szCs w:val="32"/>
          <w:shd w:val="clear" w:color="auto" w:fill="FFFFFF"/>
          <w:lang w:eastAsia="zh-CN"/>
        </w:rPr>
        <w:t>市资源规划主管部门应当加强建设用地与建设工程批后监督管理，定期开展“双随机”检查。建设单位应当按照规划批准用途以及建设规模、国有建设用地使用权有偿使用合同或者划拨决定书约定、规定的开竣工日期进行建设。构成闲置土地的，按有关法律法规进行处置。</w:t>
      </w:r>
    </w:p>
    <w:bookmarkEnd w:id="351"/>
    <w:p>
      <w:pPr>
        <w:pageBreakBefore w:val="0"/>
        <w:shd w:val="clear" w:color="auto" w:fill="FFFFFF"/>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p>
    <w:p>
      <w:pPr>
        <w:pStyle w:val="3"/>
        <w:keepNext w:val="0"/>
        <w:keepLines w:val="0"/>
        <w:pageBreakBefore w:val="0"/>
        <w:numPr>
          <w:ilvl w:val="0"/>
          <w:numId w:val="1"/>
        </w:numPr>
        <w:kinsoku/>
        <w:wordWrap/>
        <w:overflowPunct/>
        <w:topLinePunct w:val="0"/>
        <w:bidi w:val="0"/>
        <w:snapToGrid/>
        <w:spacing w:before="0" w:after="0" w:line="360" w:lineRule="auto"/>
        <w:jc w:val="center"/>
        <w:textAlignment w:val="auto"/>
        <w:rPr>
          <w:rFonts w:ascii="仿宋_GB2312" w:eastAsia="仿宋_GB2312" w:cs="仿宋_GB2312"/>
          <w:color w:val="auto"/>
          <w:szCs w:val="32"/>
        </w:rPr>
      </w:pPr>
      <w:bookmarkStart w:id="370" w:name="_Toc730760345"/>
      <w:bookmarkStart w:id="371" w:name="_Toc1019815200"/>
      <w:bookmarkStart w:id="372" w:name="_Toc1960539688"/>
      <w:bookmarkStart w:id="373" w:name="_Toc51738833"/>
      <w:bookmarkStart w:id="374" w:name="_Toc805304787"/>
      <w:bookmarkStart w:id="375" w:name="_Toc1824821325"/>
      <w:r>
        <w:rPr>
          <w:rFonts w:hint="eastAsia"/>
          <w:b w:val="0"/>
          <w:bCs/>
          <w:color w:val="auto"/>
        </w:rPr>
        <w:t>国土空间规划监督与管理</w:t>
      </w:r>
      <w:bookmarkEnd w:id="370"/>
      <w:bookmarkEnd w:id="371"/>
      <w:bookmarkEnd w:id="372"/>
      <w:bookmarkEnd w:id="373"/>
      <w:bookmarkEnd w:id="374"/>
      <w:bookmarkEnd w:id="375"/>
    </w:p>
    <w:p>
      <w:pPr>
        <w:pageBreakBefore w:val="0"/>
        <w:kinsoku/>
        <w:wordWrap/>
        <w:overflowPunct/>
        <w:topLinePunct w:val="0"/>
        <w:bidi w:val="0"/>
        <w:snapToGrid/>
        <w:spacing w:line="360" w:lineRule="auto"/>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shd w:val="clear" w:color="auto" w:fill="FFFFFF"/>
        </w:rPr>
      </w:pPr>
      <w:bookmarkStart w:id="376" w:name="_Toc245902145"/>
      <w:bookmarkStart w:id="377" w:name="_Toc254007779"/>
      <w:bookmarkStart w:id="378" w:name="_Toc1597777144"/>
      <w:bookmarkStart w:id="379" w:name="_Toc1703774193"/>
      <w:bookmarkStart w:id="380" w:name="_Toc82404631"/>
      <w:bookmarkStart w:id="381" w:name="_Toc1292035429"/>
      <w:r>
        <w:rPr>
          <w:rFonts w:hint="eastAsia" w:ascii="仿宋_GB2312" w:hAnsi="仿宋_GB2312" w:eastAsia="仿宋_GB2312" w:cs="仿宋_GB2312"/>
          <w:color w:val="auto"/>
          <w:lang w:eastAsia="zh-CN"/>
        </w:rPr>
        <w:t>第五十二条</w:t>
      </w:r>
      <w:r>
        <w:rPr>
          <w:rFonts w:hint="eastAsia" w:ascii="仿宋_GB2312" w:hAnsi="仿宋_GB2312" w:eastAsia="仿宋_GB2312" w:cs="仿宋_GB2312"/>
          <w:color w:val="auto"/>
        </w:rPr>
        <w:t>【人大监督】</w:t>
      </w:r>
      <w:bookmarkEnd w:id="376"/>
      <w:bookmarkEnd w:id="377"/>
      <w:bookmarkEnd w:id="378"/>
      <w:bookmarkEnd w:id="379"/>
      <w:bookmarkEnd w:id="380"/>
      <w:bookmarkEnd w:id="381"/>
      <w:r>
        <w:rPr>
          <w:rFonts w:hint="eastAsia" w:ascii="仿宋_GB2312" w:hAnsi="仿宋_GB2312" w:eastAsia="仿宋_GB2312" w:cs="仿宋_GB2312"/>
          <w:b w:val="0"/>
          <w:bCs/>
          <w:color w:val="auto"/>
          <w:sz w:val="32"/>
          <w:szCs w:val="32"/>
          <w:shd w:val="clear" w:color="auto" w:fill="FFFFFF"/>
        </w:rPr>
        <w:t>市人民政府应当向本级人民代表大会常务委员会报告国土空间规划的制定和实施情况，并接受监督。</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eastAsia="仿宋_GB2312" w:cs="仿宋_GB2312"/>
          <w:color w:val="auto"/>
          <w:sz w:val="32"/>
          <w:szCs w:val="32"/>
        </w:rPr>
      </w:pPr>
      <w:bookmarkStart w:id="382" w:name="_Toc492828722"/>
      <w:bookmarkStart w:id="383" w:name="_Toc1865224272"/>
      <w:bookmarkStart w:id="384" w:name="_Toc1618828067"/>
      <w:bookmarkStart w:id="385" w:name="_Toc1631680184"/>
      <w:bookmarkStart w:id="386" w:name="_Toc216217353"/>
      <w:bookmarkStart w:id="387" w:name="_Toc1833892588"/>
      <w:r>
        <w:rPr>
          <w:rFonts w:hint="eastAsia" w:ascii="仿宋_GB2312" w:hAnsi="仿宋_GB2312" w:eastAsia="仿宋_GB2312" w:cs="仿宋_GB2312"/>
          <w:color w:val="auto"/>
          <w:lang w:eastAsia="zh-CN"/>
        </w:rPr>
        <w:t>第五十三条</w:t>
      </w:r>
      <w:r>
        <w:rPr>
          <w:rFonts w:hint="eastAsia" w:ascii="仿宋_GB2312" w:hAnsi="仿宋_GB2312" w:eastAsia="仿宋_GB2312" w:cs="仿宋_GB2312"/>
          <w:color w:val="auto"/>
        </w:rPr>
        <w:t>【公众监督】</w:t>
      </w:r>
      <w:bookmarkEnd w:id="382"/>
      <w:bookmarkEnd w:id="383"/>
      <w:bookmarkEnd w:id="384"/>
      <w:bookmarkEnd w:id="385"/>
      <w:bookmarkEnd w:id="386"/>
      <w:bookmarkEnd w:id="387"/>
      <w:r>
        <w:rPr>
          <w:rFonts w:hint="eastAsia" w:ascii="仿宋_GB2312" w:eastAsia="仿宋_GB2312" w:cs="仿宋_GB2312"/>
          <w:b w:val="0"/>
          <w:bCs/>
          <w:color w:val="auto"/>
          <w:sz w:val="32"/>
          <w:szCs w:val="32"/>
        </w:rPr>
        <w:t>任何单位和个人有权对国土空间规划制定、实施、监督检查工作提出意见和建议</w:t>
      </w:r>
      <w:r>
        <w:rPr>
          <w:rFonts w:hint="eastAsia" w:ascii="仿宋_GB2312" w:eastAsia="仿宋_GB2312" w:cs="仿宋_GB2312"/>
          <w:b w:val="0"/>
          <w:bCs/>
          <w:color w:val="auto"/>
          <w:sz w:val="32"/>
          <w:szCs w:val="32"/>
          <w:lang w:eastAsia="zh-CN"/>
        </w:rPr>
        <w:t>，</w:t>
      </w:r>
      <w:r>
        <w:rPr>
          <w:rFonts w:hint="eastAsia" w:ascii="仿宋_GB2312" w:eastAsia="仿宋_GB2312" w:cs="仿宋_GB2312"/>
          <w:b w:val="0"/>
          <w:bCs/>
          <w:color w:val="auto"/>
          <w:sz w:val="32"/>
          <w:szCs w:val="32"/>
        </w:rPr>
        <w:t>有权就涉及其利害关系的建设活动是否符合国土空间规划向市资源规划主管部门进行查询</w:t>
      </w:r>
      <w:r>
        <w:rPr>
          <w:rFonts w:hint="eastAsia" w:ascii="仿宋_GB2312" w:eastAsia="仿宋_GB2312" w:cs="仿宋_GB2312"/>
          <w:b w:val="0"/>
          <w:bCs/>
          <w:color w:val="auto"/>
          <w:sz w:val="32"/>
          <w:szCs w:val="32"/>
          <w:lang w:eastAsia="zh-CN"/>
        </w:rPr>
        <w:t>，</w:t>
      </w:r>
      <w:r>
        <w:rPr>
          <w:rFonts w:hint="eastAsia" w:ascii="仿宋_GB2312" w:eastAsia="仿宋_GB2312" w:cs="仿宋_GB2312"/>
          <w:b w:val="0"/>
          <w:bCs/>
          <w:color w:val="auto"/>
          <w:sz w:val="32"/>
          <w:szCs w:val="32"/>
        </w:rPr>
        <w:t>有权</w:t>
      </w:r>
      <w:r>
        <w:rPr>
          <w:rFonts w:ascii="仿宋_GB2312" w:eastAsia="仿宋_GB2312" w:cs="仿宋_GB2312"/>
          <w:b w:val="0"/>
          <w:bCs/>
          <w:color w:val="auto"/>
          <w:sz w:val="32"/>
          <w:szCs w:val="32"/>
        </w:rPr>
        <w:t>对</w:t>
      </w:r>
      <w:r>
        <w:rPr>
          <w:rFonts w:hint="eastAsia" w:ascii="仿宋_GB2312" w:eastAsia="仿宋_GB2312" w:cs="仿宋_GB2312"/>
          <w:b w:val="0"/>
          <w:bCs/>
          <w:color w:val="auto"/>
          <w:sz w:val="32"/>
          <w:szCs w:val="32"/>
        </w:rPr>
        <w:t>违反国土</w:t>
      </w:r>
      <w:r>
        <w:rPr>
          <w:rFonts w:ascii="仿宋_GB2312" w:eastAsia="仿宋_GB2312" w:cs="仿宋_GB2312"/>
          <w:b w:val="0"/>
          <w:bCs/>
          <w:color w:val="auto"/>
          <w:sz w:val="32"/>
          <w:szCs w:val="32"/>
        </w:rPr>
        <w:t>空间规划</w:t>
      </w:r>
      <w:r>
        <w:rPr>
          <w:rFonts w:hint="eastAsia" w:ascii="仿宋_GB2312" w:eastAsia="仿宋_GB2312" w:cs="仿宋_GB2312"/>
          <w:b w:val="0"/>
          <w:bCs/>
          <w:color w:val="auto"/>
          <w:sz w:val="32"/>
          <w:szCs w:val="32"/>
        </w:rPr>
        <w:t>的</w:t>
      </w:r>
      <w:r>
        <w:rPr>
          <w:rFonts w:ascii="仿宋_GB2312" w:eastAsia="仿宋_GB2312" w:cs="仿宋_GB2312"/>
          <w:b w:val="0"/>
          <w:bCs/>
          <w:color w:val="auto"/>
          <w:sz w:val="32"/>
          <w:szCs w:val="32"/>
        </w:rPr>
        <w:t>行为</w:t>
      </w:r>
      <w:r>
        <w:rPr>
          <w:rFonts w:hint="eastAsia" w:ascii="仿宋_GB2312" w:eastAsia="仿宋_GB2312" w:cs="仿宋_GB2312"/>
          <w:b w:val="0"/>
          <w:bCs/>
          <w:color w:val="auto"/>
          <w:sz w:val="32"/>
          <w:szCs w:val="32"/>
        </w:rPr>
        <w:t>进行</w:t>
      </w:r>
      <w:r>
        <w:rPr>
          <w:rFonts w:ascii="仿宋_GB2312" w:eastAsia="仿宋_GB2312" w:cs="仿宋_GB2312"/>
          <w:b w:val="0"/>
          <w:bCs/>
          <w:color w:val="auto"/>
          <w:sz w:val="32"/>
          <w:szCs w:val="32"/>
        </w:rPr>
        <w:t>检举和</w:t>
      </w:r>
      <w:r>
        <w:rPr>
          <w:rFonts w:hint="eastAsia" w:ascii="仿宋_GB2312" w:eastAsia="仿宋_GB2312" w:cs="仿宋_GB2312"/>
          <w:b w:val="0"/>
          <w:bCs/>
          <w:color w:val="auto"/>
          <w:sz w:val="32"/>
          <w:szCs w:val="32"/>
        </w:rPr>
        <w:t>控告</w:t>
      </w:r>
      <w:r>
        <w:rPr>
          <w:rFonts w:ascii="仿宋_GB2312" w:eastAsia="仿宋_GB2312" w:cs="仿宋_GB2312"/>
          <w:b w:val="0"/>
          <w:bCs/>
          <w:color w:val="auto"/>
          <w:sz w:val="32"/>
          <w:szCs w:val="32"/>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eastAsia="仿宋_GB2312" w:cs="仿宋_GB2312"/>
          <w:color w:val="auto"/>
          <w:sz w:val="32"/>
          <w:szCs w:val="32"/>
          <w:highlight w:val="none"/>
          <w:lang w:val="en-US" w:eastAsia="zh-CN"/>
        </w:rPr>
      </w:pPr>
      <w:bookmarkStart w:id="388" w:name="_Toc81696354"/>
      <w:bookmarkStart w:id="389" w:name="_Toc809686415"/>
      <w:bookmarkStart w:id="390" w:name="_Toc1944209970"/>
      <w:bookmarkStart w:id="391" w:name="_Toc1834585682"/>
      <w:bookmarkStart w:id="392" w:name="_Toc1225179352"/>
      <w:bookmarkStart w:id="393" w:name="_Toc305357865"/>
      <w:r>
        <w:rPr>
          <w:rFonts w:hint="eastAsia" w:ascii="仿宋_GB2312" w:hAnsi="仿宋_GB2312" w:eastAsia="仿宋_GB2312" w:cs="仿宋_GB2312"/>
          <w:color w:val="auto"/>
          <w:lang w:eastAsia="zh-CN"/>
        </w:rPr>
        <w:t>第五十四条</w:t>
      </w:r>
      <w:r>
        <w:rPr>
          <w:rFonts w:hint="eastAsia" w:ascii="仿宋_GB2312" w:hAnsi="仿宋_GB2312" w:eastAsia="仿宋_GB2312" w:cs="仿宋_GB2312"/>
          <w:color w:val="auto"/>
        </w:rPr>
        <w:t>【政府与部门监管】</w:t>
      </w:r>
      <w:bookmarkEnd w:id="388"/>
      <w:bookmarkEnd w:id="389"/>
      <w:bookmarkEnd w:id="390"/>
      <w:bookmarkEnd w:id="391"/>
      <w:bookmarkEnd w:id="392"/>
      <w:bookmarkEnd w:id="393"/>
      <w:r>
        <w:rPr>
          <w:rFonts w:hint="eastAsia" w:ascii="仿宋_GB2312" w:eastAsia="仿宋_GB2312" w:cs="仿宋_GB2312"/>
          <w:b w:val="0"/>
          <w:bCs/>
          <w:color w:val="auto"/>
          <w:sz w:val="32"/>
          <w:szCs w:val="32"/>
          <w:highlight w:val="none"/>
        </w:rPr>
        <w:t>市、区人民政府以及市资源规划主管部门应当加强对国土空间规划</w:t>
      </w:r>
      <w:r>
        <w:rPr>
          <w:rFonts w:hint="eastAsia" w:ascii="仿宋_GB2312" w:eastAsia="仿宋_GB2312" w:cs="仿宋_GB2312"/>
          <w:b w:val="0"/>
          <w:bCs/>
          <w:color w:val="auto"/>
          <w:sz w:val="32"/>
          <w:szCs w:val="32"/>
          <w:highlight w:val="none"/>
          <w:lang w:eastAsia="zh-CN"/>
        </w:rPr>
        <w:t>制定</w:t>
      </w:r>
      <w:r>
        <w:rPr>
          <w:rFonts w:hint="eastAsia" w:ascii="仿宋_GB2312" w:eastAsia="仿宋_GB2312" w:cs="仿宋_GB2312"/>
          <w:b w:val="0"/>
          <w:bCs/>
          <w:color w:val="auto"/>
          <w:sz w:val="32"/>
          <w:szCs w:val="32"/>
          <w:highlight w:val="none"/>
        </w:rPr>
        <w:t>、实施、修改的监督管理。</w:t>
      </w:r>
      <w:r>
        <w:rPr>
          <w:rFonts w:hint="eastAsia" w:ascii="仿宋_GB2312" w:eastAsia="仿宋_GB2312" w:cs="仿宋_GB2312"/>
          <w:b w:val="0"/>
          <w:bCs/>
          <w:color w:val="auto"/>
          <w:sz w:val="32"/>
          <w:szCs w:val="32"/>
          <w:highlight w:val="none"/>
          <w:lang w:val="en-US" w:eastAsia="zh-CN"/>
        </w:rPr>
        <w:t>市</w:t>
      </w:r>
      <w:r>
        <w:rPr>
          <w:rFonts w:hint="eastAsia" w:ascii="仿宋_GB2312" w:eastAsia="仿宋_GB2312" w:cs="仿宋_GB2312"/>
          <w:b w:val="0"/>
          <w:bCs/>
          <w:color w:val="auto"/>
          <w:sz w:val="32"/>
          <w:szCs w:val="32"/>
          <w:highlight w:val="none"/>
        </w:rPr>
        <w:t>城市管理行政执法</w:t>
      </w:r>
      <w:r>
        <w:rPr>
          <w:rFonts w:hint="eastAsia" w:ascii="仿宋_GB2312" w:eastAsia="仿宋_GB2312" w:cs="仿宋_GB2312"/>
          <w:b w:val="0"/>
          <w:bCs/>
          <w:color w:val="auto"/>
          <w:sz w:val="32"/>
          <w:szCs w:val="32"/>
          <w:highlight w:val="none"/>
          <w:lang w:val="en-US" w:eastAsia="zh-CN"/>
        </w:rPr>
        <w:t>部门</w:t>
      </w:r>
      <w:r>
        <w:rPr>
          <w:rFonts w:hint="eastAsia" w:ascii="仿宋_GB2312" w:eastAsia="仿宋_GB2312" w:cs="仿宋_GB2312"/>
          <w:b w:val="0"/>
          <w:bCs/>
          <w:color w:val="auto"/>
          <w:sz w:val="32"/>
          <w:szCs w:val="32"/>
          <w:highlight w:val="none"/>
        </w:rPr>
        <w:t>按照职责开展日常巡查，及时发现、制止并依法处置各类国土空间规划违法行为。</w:t>
      </w:r>
      <w:r>
        <w:rPr>
          <w:rFonts w:hint="eastAsia" w:ascii="仿宋_GB2312" w:eastAsia="仿宋_GB2312" w:cs="仿宋_GB2312"/>
          <w:b w:val="0"/>
          <w:bCs/>
          <w:color w:val="auto"/>
          <w:sz w:val="32"/>
          <w:szCs w:val="32"/>
          <w:highlight w:val="none"/>
          <w:lang w:val="en-US" w:eastAsia="zh-CN"/>
        </w:rPr>
        <w:t>镇人民政府（街道办事处）应当协助开展辖区内的日常巡查。</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i w:val="0"/>
          <w:iCs w:val="0"/>
          <w:caps w:val="0"/>
          <w:color w:val="auto"/>
          <w:spacing w:val="0"/>
          <w:sz w:val="32"/>
          <w:szCs w:val="32"/>
          <w:shd w:val="clear" w:fill="FFFFFF"/>
        </w:rPr>
      </w:pPr>
      <w:bookmarkStart w:id="394" w:name="_Toc1285600665"/>
      <w:bookmarkStart w:id="395" w:name="_Toc8840582"/>
      <w:bookmarkStart w:id="396" w:name="_Toc626197240"/>
      <w:bookmarkStart w:id="397" w:name="_Toc507551567"/>
      <w:bookmarkStart w:id="398" w:name="_Toc527331989"/>
      <w:bookmarkStart w:id="399" w:name="_Toc1161773267"/>
      <w:r>
        <w:rPr>
          <w:rFonts w:hint="eastAsia" w:ascii="仿宋_GB2312" w:hAnsi="仿宋_GB2312" w:eastAsia="仿宋_GB2312" w:cs="仿宋_GB2312"/>
          <w:color w:val="auto"/>
          <w:lang w:eastAsia="zh-CN"/>
        </w:rPr>
        <w:t>第五十五条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部门联动</w:t>
      </w:r>
      <w:r>
        <w:rPr>
          <w:rFonts w:hint="eastAsia" w:ascii="仿宋_GB2312" w:hAnsi="仿宋_GB2312" w:eastAsia="仿宋_GB2312" w:cs="仿宋_GB2312"/>
          <w:color w:val="auto"/>
        </w:rPr>
        <w:t>】</w:t>
      </w:r>
      <w:bookmarkEnd w:id="394"/>
      <w:bookmarkEnd w:id="395"/>
      <w:bookmarkEnd w:id="396"/>
      <w:bookmarkEnd w:id="397"/>
      <w:bookmarkEnd w:id="398"/>
      <w:bookmarkEnd w:id="399"/>
      <w:r>
        <w:rPr>
          <w:rFonts w:hint="eastAsia" w:ascii="仿宋_GB2312" w:hAnsi="仿宋_GB2312" w:eastAsia="仿宋_GB2312" w:cs="仿宋_GB2312"/>
          <w:b w:val="0"/>
          <w:bCs/>
          <w:i w:val="0"/>
          <w:iCs w:val="0"/>
          <w:caps w:val="0"/>
          <w:color w:val="auto"/>
          <w:spacing w:val="0"/>
          <w:sz w:val="32"/>
          <w:szCs w:val="32"/>
          <w:shd w:val="clear" w:fill="FFFFFF"/>
        </w:rPr>
        <w:t>市、区人民政府应当建立工程建设领域信息共享、工作配合、监管联动机制和查处违法建设信息抄告反馈制度，记录和查处违反</w:t>
      </w:r>
      <w:r>
        <w:rPr>
          <w:rFonts w:hint="eastAsia" w:ascii="仿宋_GB2312" w:hAnsi="仿宋_GB2312" w:eastAsia="仿宋_GB2312" w:cs="仿宋_GB2312"/>
          <w:b w:val="0"/>
          <w:bCs/>
          <w:i w:val="0"/>
          <w:iCs w:val="0"/>
          <w:caps w:val="0"/>
          <w:color w:val="auto"/>
          <w:spacing w:val="0"/>
          <w:sz w:val="32"/>
          <w:szCs w:val="32"/>
          <w:shd w:val="clear" w:fill="FFFFFF"/>
          <w:lang w:eastAsia="zh-CN"/>
        </w:rPr>
        <w:t>国土空间</w:t>
      </w:r>
      <w:r>
        <w:rPr>
          <w:rFonts w:hint="eastAsia" w:ascii="仿宋_GB2312" w:hAnsi="仿宋_GB2312" w:eastAsia="仿宋_GB2312" w:cs="仿宋_GB2312"/>
          <w:b w:val="0"/>
          <w:bCs/>
          <w:i w:val="0"/>
          <w:iCs w:val="0"/>
          <w:caps w:val="0"/>
          <w:color w:val="auto"/>
          <w:spacing w:val="0"/>
          <w:sz w:val="32"/>
          <w:szCs w:val="32"/>
          <w:shd w:val="clear" w:fill="FFFFFF"/>
        </w:rPr>
        <w:t>规划的建设活动。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sz w:val="32"/>
          <w:szCs w:val="32"/>
          <w:shd w:val="clear" w:color="auto" w:fill="FFFFFF"/>
        </w:rPr>
      </w:pPr>
      <w:bookmarkStart w:id="400" w:name="_Toc2137405216"/>
      <w:bookmarkStart w:id="401" w:name="_Toc727191607"/>
      <w:bookmarkStart w:id="402" w:name="_Toc51574597"/>
      <w:bookmarkStart w:id="403" w:name="_Toc922209376"/>
      <w:bookmarkStart w:id="404" w:name="_Toc497882421"/>
      <w:bookmarkStart w:id="405" w:name="_Toc181984041"/>
      <w:r>
        <w:rPr>
          <w:rFonts w:hint="eastAsia" w:ascii="仿宋_GB2312" w:hAnsi="仿宋_GB2312" w:eastAsia="仿宋_GB2312" w:cs="仿宋_GB2312"/>
          <w:color w:val="auto"/>
          <w:lang w:eastAsia="zh-CN"/>
        </w:rPr>
        <w:t>第五十六条</w:t>
      </w:r>
      <w:r>
        <w:rPr>
          <w:rFonts w:hint="eastAsia" w:ascii="仿宋_GB2312" w:hAnsi="仿宋_GB2312" w:eastAsia="仿宋_GB2312" w:cs="仿宋_GB2312"/>
          <w:color w:val="auto"/>
        </w:rPr>
        <w:t>【行业监管】</w:t>
      </w:r>
      <w:bookmarkEnd w:id="400"/>
      <w:bookmarkEnd w:id="401"/>
      <w:bookmarkEnd w:id="402"/>
      <w:bookmarkEnd w:id="403"/>
      <w:bookmarkEnd w:id="404"/>
      <w:bookmarkEnd w:id="405"/>
      <w:r>
        <w:rPr>
          <w:rFonts w:hint="eastAsia" w:ascii="仿宋_GB2312" w:hAnsi="仿宋_GB2312" w:eastAsia="仿宋_GB2312" w:cs="仿宋_GB2312"/>
          <w:b w:val="0"/>
          <w:bCs/>
          <w:color w:val="auto"/>
          <w:sz w:val="32"/>
          <w:szCs w:val="32"/>
          <w:shd w:val="clear" w:color="auto" w:fill="FFFFFF"/>
        </w:rPr>
        <w:t>市资源规划主管部门应当将规划实施过程中建设、设计、测绘等单位</w:t>
      </w:r>
      <w:r>
        <w:rPr>
          <w:rFonts w:hint="eastAsia" w:ascii="仿宋_GB2312" w:hAnsi="仿宋_GB2312" w:eastAsia="仿宋_GB2312" w:cs="仿宋_GB2312"/>
          <w:b w:val="0"/>
          <w:bCs/>
          <w:color w:val="auto"/>
          <w:sz w:val="32"/>
          <w:szCs w:val="32"/>
          <w:shd w:val="clear" w:color="auto" w:fill="FFFFFF"/>
          <w:lang w:eastAsia="zh-CN"/>
        </w:rPr>
        <w:t>以</w:t>
      </w:r>
      <w:r>
        <w:rPr>
          <w:rFonts w:hint="eastAsia" w:ascii="仿宋_GB2312" w:hAnsi="仿宋_GB2312" w:eastAsia="仿宋_GB2312" w:cs="仿宋_GB2312"/>
          <w:b w:val="0"/>
          <w:bCs/>
          <w:color w:val="auto"/>
          <w:sz w:val="32"/>
          <w:szCs w:val="32"/>
          <w:shd w:val="clear" w:color="auto" w:fill="FFFFFF"/>
        </w:rPr>
        <w:t>及个人的不良行为予以记录并公布。</w:t>
      </w:r>
    </w:p>
    <w:p>
      <w:pPr>
        <w:pageBreakBefore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对违法建设的设计单位、施工单位、监理单位及其直接责任人员，市资源规划主管部门、城市管理行政执法部门应当及时通报市建设</w:t>
      </w:r>
      <w:r>
        <w:rPr>
          <w:rFonts w:hint="eastAsia" w:ascii="仿宋_GB2312" w:hAnsi="仿宋_GB2312" w:eastAsia="仿宋_GB2312" w:cs="仿宋_GB2312"/>
          <w:color w:val="auto"/>
          <w:sz w:val="32"/>
          <w:szCs w:val="32"/>
          <w:shd w:val="clear" w:color="auto" w:fill="FFFFFF"/>
          <w:lang w:eastAsia="zh-CN"/>
        </w:rPr>
        <w:t>主管</w:t>
      </w:r>
      <w:r>
        <w:rPr>
          <w:rFonts w:hint="eastAsia" w:ascii="仿宋_GB2312" w:hAnsi="仿宋_GB2312" w:eastAsia="仿宋_GB2312" w:cs="仿宋_GB2312"/>
          <w:color w:val="auto"/>
          <w:sz w:val="32"/>
          <w:szCs w:val="32"/>
          <w:shd w:val="clear" w:color="auto" w:fill="FFFFFF"/>
        </w:rPr>
        <w:t>部门处理。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lang w:eastAsia="zh-CN"/>
        </w:rPr>
      </w:pPr>
      <w:bookmarkStart w:id="406" w:name="_Toc1396399688"/>
      <w:bookmarkStart w:id="407" w:name="_Toc1047520210"/>
      <w:bookmarkStart w:id="408" w:name="_Toc938098093"/>
      <w:bookmarkStart w:id="409" w:name="_Toc2132085692"/>
      <w:bookmarkStart w:id="410" w:name="_Toc1189087478"/>
      <w:bookmarkStart w:id="411" w:name="_Toc223420643"/>
      <w:r>
        <w:rPr>
          <w:rFonts w:hint="eastAsia" w:ascii="仿宋_GB2312" w:hAnsi="仿宋_GB2312" w:eastAsia="仿宋_GB2312" w:cs="仿宋_GB2312"/>
          <w:color w:val="auto"/>
          <w:lang w:eastAsia="zh-CN"/>
        </w:rPr>
        <w:t>第五十七条</w:t>
      </w:r>
      <w:r>
        <w:rPr>
          <w:rFonts w:hint="eastAsia" w:ascii="仿宋_GB2312" w:hAnsi="仿宋_GB2312" w:eastAsia="仿宋_GB2312" w:cs="仿宋_GB2312"/>
          <w:color w:val="auto"/>
        </w:rPr>
        <w:t>【责任规划师制度】</w:t>
      </w:r>
      <w:bookmarkEnd w:id="406"/>
      <w:bookmarkEnd w:id="407"/>
      <w:bookmarkEnd w:id="408"/>
      <w:bookmarkEnd w:id="409"/>
      <w:bookmarkEnd w:id="410"/>
      <w:r>
        <w:rPr>
          <w:rFonts w:hint="eastAsia" w:ascii="仿宋_GB2312" w:hAnsi="仿宋_GB2312" w:eastAsia="仿宋_GB2312" w:cs="仿宋_GB2312"/>
          <w:b w:val="0"/>
          <w:bCs/>
          <w:color w:val="auto"/>
          <w:kern w:val="0"/>
          <w:sz w:val="32"/>
          <w:szCs w:val="32"/>
          <w:shd w:val="clear" w:color="auto" w:fill="FFFFFF"/>
          <w:lang w:val="en-US" w:eastAsia="zh-CN"/>
        </w:rPr>
        <w:t>建立</w:t>
      </w:r>
      <w:r>
        <w:rPr>
          <w:rFonts w:hint="eastAsia" w:ascii="仿宋_GB2312" w:hAnsi="仿宋_GB2312" w:eastAsia="仿宋_GB2312" w:cs="仿宋_GB2312"/>
          <w:b w:val="0"/>
          <w:bCs/>
          <w:color w:val="auto"/>
          <w:kern w:val="0"/>
          <w:sz w:val="32"/>
          <w:szCs w:val="32"/>
          <w:shd w:val="clear" w:color="auto" w:fill="FFFFFF"/>
        </w:rPr>
        <w:t>责任规划师制度，为</w:t>
      </w:r>
      <w:r>
        <w:rPr>
          <w:rFonts w:hint="eastAsia" w:ascii="仿宋_GB2312" w:hAnsi="仿宋_GB2312" w:eastAsia="仿宋_GB2312" w:cs="仿宋_GB2312"/>
          <w:b w:val="0"/>
          <w:bCs/>
          <w:color w:val="auto"/>
          <w:kern w:val="0"/>
          <w:sz w:val="32"/>
          <w:szCs w:val="32"/>
          <w:shd w:val="clear" w:color="auto" w:fill="FFFFFF"/>
          <w:lang w:eastAsia="zh-CN"/>
        </w:rPr>
        <w:t>国土空间规划</w:t>
      </w:r>
      <w:r>
        <w:rPr>
          <w:rFonts w:hint="eastAsia" w:ascii="仿宋_GB2312" w:hAnsi="仿宋_GB2312" w:eastAsia="仿宋_GB2312" w:cs="仿宋_GB2312"/>
          <w:b w:val="0"/>
          <w:bCs/>
          <w:color w:val="auto"/>
          <w:kern w:val="0"/>
          <w:sz w:val="32"/>
          <w:szCs w:val="32"/>
          <w:shd w:val="clear" w:color="auto" w:fill="FFFFFF"/>
          <w:lang w:val="en-US" w:eastAsia="zh-CN"/>
        </w:rPr>
        <w:t>的制定</w:t>
      </w:r>
      <w:r>
        <w:rPr>
          <w:rFonts w:hint="eastAsia" w:ascii="仿宋_GB2312" w:hAnsi="仿宋_GB2312" w:eastAsia="仿宋_GB2312" w:cs="仿宋_GB2312"/>
          <w:b w:val="0"/>
          <w:bCs/>
          <w:color w:val="auto"/>
          <w:kern w:val="0"/>
          <w:sz w:val="32"/>
          <w:szCs w:val="32"/>
          <w:shd w:val="clear" w:color="auto" w:fill="FFFFFF"/>
        </w:rPr>
        <w:t>、</w:t>
      </w:r>
      <w:r>
        <w:rPr>
          <w:rFonts w:hint="eastAsia" w:ascii="仿宋_GB2312" w:hAnsi="仿宋_GB2312" w:eastAsia="仿宋_GB2312" w:cs="仿宋_GB2312"/>
          <w:b w:val="0"/>
          <w:bCs/>
          <w:color w:val="auto"/>
          <w:kern w:val="0"/>
          <w:sz w:val="32"/>
          <w:szCs w:val="32"/>
          <w:shd w:val="clear" w:color="auto" w:fill="FFFFFF"/>
          <w:lang w:val="en-US" w:eastAsia="zh-CN"/>
        </w:rPr>
        <w:t>实施、监督检查、宣传引导等</w:t>
      </w:r>
      <w:r>
        <w:rPr>
          <w:rFonts w:hint="eastAsia" w:ascii="仿宋_GB2312" w:hAnsi="仿宋_GB2312" w:eastAsia="仿宋_GB2312" w:cs="仿宋_GB2312"/>
          <w:b w:val="0"/>
          <w:bCs/>
          <w:color w:val="auto"/>
          <w:kern w:val="0"/>
          <w:sz w:val="32"/>
          <w:szCs w:val="32"/>
          <w:shd w:val="clear" w:color="auto" w:fill="FFFFFF"/>
        </w:rPr>
        <w:t>提供技术服务</w:t>
      </w:r>
      <w:r>
        <w:rPr>
          <w:rFonts w:hint="eastAsia" w:ascii="仿宋_GB2312" w:hAnsi="仿宋_GB2312" w:eastAsia="仿宋_GB2312" w:cs="仿宋_GB2312"/>
          <w:b w:val="0"/>
          <w:bCs/>
          <w:color w:val="auto"/>
          <w:kern w:val="0"/>
          <w:sz w:val="32"/>
          <w:szCs w:val="32"/>
          <w:shd w:val="clear" w:color="auto" w:fill="FFFFFF"/>
          <w:lang w:val="en-US" w:eastAsia="zh-CN"/>
        </w:rPr>
        <w:t>，优化国土空间规划治理，</w:t>
      </w:r>
      <w:r>
        <w:rPr>
          <w:rFonts w:hint="eastAsia" w:ascii="仿宋_GB2312" w:eastAsia="仿宋_GB2312"/>
          <w:b w:val="0"/>
          <w:bCs/>
          <w:sz w:val="32"/>
          <w:szCs w:val="32"/>
        </w:rPr>
        <w:t>推进社区（城中村）治理</w:t>
      </w:r>
      <w:r>
        <w:rPr>
          <w:rFonts w:ascii="仿宋_GB2312" w:eastAsia="仿宋_GB2312"/>
          <w:b w:val="0"/>
          <w:bCs/>
          <w:sz w:val="32"/>
          <w:szCs w:val="32"/>
        </w:rPr>
        <w:t>和乡村</w:t>
      </w:r>
      <w:r>
        <w:rPr>
          <w:rFonts w:hint="eastAsia" w:ascii="仿宋_GB2312" w:eastAsia="仿宋_GB2312"/>
          <w:b w:val="0"/>
          <w:bCs/>
          <w:sz w:val="32"/>
          <w:szCs w:val="32"/>
        </w:rPr>
        <w:t>振兴</w:t>
      </w:r>
      <w:r>
        <w:rPr>
          <w:rFonts w:hint="eastAsia" w:ascii="仿宋_GB2312" w:eastAsia="仿宋_GB2312"/>
          <w:b w:val="0"/>
          <w:bCs/>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eastAsia="仿宋_GB2312" w:cs="仿宋_GB2312"/>
          <w:color w:val="auto"/>
          <w:sz w:val="32"/>
          <w:szCs w:val="32"/>
        </w:rPr>
      </w:pPr>
      <w:bookmarkStart w:id="412" w:name="_Toc1826716891"/>
      <w:bookmarkStart w:id="413" w:name="_Toc165322836"/>
      <w:bookmarkStart w:id="414" w:name="_Toc725416262"/>
      <w:bookmarkStart w:id="415" w:name="_Toc104121973"/>
      <w:bookmarkStart w:id="416" w:name="_Toc416749970"/>
      <w:r>
        <w:rPr>
          <w:rFonts w:hint="eastAsia" w:ascii="仿宋_GB2312" w:hAnsi="仿宋_GB2312" w:eastAsia="仿宋_GB2312" w:cs="仿宋_GB2312"/>
          <w:color w:val="auto"/>
          <w:lang w:eastAsia="zh-CN"/>
        </w:rPr>
        <w:t>第五十八条</w:t>
      </w:r>
      <w:r>
        <w:rPr>
          <w:rFonts w:hint="eastAsia" w:ascii="仿宋_GB2312" w:hAnsi="仿宋_GB2312" w:eastAsia="仿宋_GB2312" w:cs="仿宋_GB2312"/>
          <w:color w:val="auto"/>
        </w:rPr>
        <w:t>【实施评估】</w:t>
      </w:r>
      <w:bookmarkEnd w:id="411"/>
      <w:bookmarkEnd w:id="412"/>
      <w:bookmarkEnd w:id="413"/>
      <w:bookmarkEnd w:id="414"/>
      <w:bookmarkEnd w:id="415"/>
      <w:bookmarkEnd w:id="416"/>
      <w:r>
        <w:rPr>
          <w:rFonts w:hint="eastAsia" w:ascii="仿宋_GB2312" w:eastAsia="仿宋_GB2312" w:cs="仿宋_GB2312"/>
          <w:b w:val="0"/>
          <w:bCs/>
          <w:color w:val="auto"/>
          <w:sz w:val="32"/>
          <w:szCs w:val="32"/>
        </w:rPr>
        <w:t>实施“一年一体检、五年一评估”</w:t>
      </w:r>
      <w:r>
        <w:rPr>
          <w:rFonts w:hint="eastAsia" w:ascii="仿宋_GB2312" w:eastAsia="仿宋_GB2312" w:cs="仿宋_GB2312"/>
          <w:b w:val="0"/>
          <w:bCs/>
          <w:color w:val="auto"/>
          <w:sz w:val="32"/>
          <w:szCs w:val="32"/>
          <w:lang w:eastAsia="zh-CN"/>
        </w:rPr>
        <w:t>国土空间规划</w:t>
      </w:r>
      <w:r>
        <w:rPr>
          <w:rFonts w:hint="eastAsia" w:ascii="仿宋_GB2312" w:eastAsia="仿宋_GB2312" w:cs="仿宋_GB2312"/>
          <w:b w:val="0"/>
          <w:bCs/>
          <w:color w:val="auto"/>
          <w:sz w:val="32"/>
          <w:szCs w:val="32"/>
        </w:rPr>
        <w:t>城市体检评估机制，对城市发展阶段特征</w:t>
      </w:r>
      <w:r>
        <w:rPr>
          <w:rFonts w:hint="eastAsia" w:ascii="仿宋_GB2312" w:eastAsia="仿宋_GB2312" w:cs="仿宋_GB2312"/>
          <w:b w:val="0"/>
          <w:bCs/>
          <w:color w:val="auto"/>
          <w:sz w:val="32"/>
          <w:szCs w:val="32"/>
          <w:lang w:eastAsia="zh-CN"/>
        </w:rPr>
        <w:t>以</w:t>
      </w:r>
      <w:r>
        <w:rPr>
          <w:rFonts w:hint="eastAsia" w:ascii="仿宋_GB2312" w:eastAsia="仿宋_GB2312" w:cs="仿宋_GB2312"/>
          <w:b w:val="0"/>
          <w:bCs/>
          <w:color w:val="auto"/>
          <w:sz w:val="32"/>
          <w:szCs w:val="32"/>
        </w:rPr>
        <w:t>及国土空间总体规划的实施效果定期进行分析和评价，对各类控制线、</w:t>
      </w:r>
      <w:r>
        <w:rPr>
          <w:rFonts w:ascii="仿宋_GB2312" w:eastAsia="仿宋_GB2312" w:cs="仿宋_GB2312"/>
          <w:b w:val="0"/>
          <w:bCs/>
          <w:color w:val="auto"/>
          <w:sz w:val="32"/>
          <w:szCs w:val="32"/>
        </w:rPr>
        <w:t>约束性指标等落实情况进行监督</w:t>
      </w:r>
      <w:r>
        <w:rPr>
          <w:rFonts w:hint="eastAsia" w:ascii="仿宋_GB2312" w:eastAsia="仿宋_GB2312" w:cs="仿宋_GB2312"/>
          <w:b w:val="0"/>
          <w:bCs/>
          <w:color w:val="auto"/>
          <w:sz w:val="32"/>
          <w:szCs w:val="32"/>
        </w:rPr>
        <w:t>。</w:t>
      </w:r>
    </w:p>
    <w:p>
      <w:pPr>
        <w:pageBreakBefore w:val="0"/>
        <w:kinsoku/>
        <w:wordWrap/>
        <w:overflowPunct/>
        <w:topLinePunct w:val="0"/>
        <w:bidi w:val="0"/>
        <w:snapToGrid/>
        <w:spacing w:line="360" w:lineRule="auto"/>
        <w:ind w:firstLine="640" w:firstLineChars="200"/>
        <w:jc w:val="lef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体检评估结果作为国土空间规划编制和修改的基础。市、区人民政府结合体检评估结果，完善规划的制定、实施和空间治理。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kern w:val="0"/>
          <w:sz w:val="32"/>
          <w:szCs w:val="32"/>
          <w:shd w:val="clear" w:color="auto" w:fill="FFFFFF"/>
        </w:rPr>
      </w:pPr>
      <w:bookmarkStart w:id="417" w:name="_Toc94627510"/>
      <w:bookmarkStart w:id="418" w:name="_Toc1925933777"/>
      <w:bookmarkStart w:id="419" w:name="_Toc726254237"/>
      <w:bookmarkStart w:id="420" w:name="_Toc633052019"/>
      <w:bookmarkStart w:id="421" w:name="_Toc1058255847"/>
      <w:bookmarkStart w:id="422" w:name="_Toc1908978166"/>
      <w:r>
        <w:rPr>
          <w:rFonts w:hint="eastAsia" w:ascii="仿宋_GB2312" w:hAnsi="仿宋_GB2312" w:eastAsia="仿宋_GB2312" w:cs="仿宋_GB2312"/>
          <w:color w:val="auto"/>
          <w:lang w:eastAsia="zh-CN"/>
        </w:rPr>
        <w:t>第五十九条</w:t>
      </w:r>
      <w:r>
        <w:rPr>
          <w:rFonts w:hint="eastAsia" w:ascii="仿宋_GB2312" w:hAnsi="仿宋_GB2312" w:eastAsia="仿宋_GB2312" w:cs="仿宋_GB2312"/>
          <w:color w:val="auto"/>
        </w:rPr>
        <w:t>【监测预警】</w:t>
      </w:r>
      <w:bookmarkEnd w:id="417"/>
      <w:bookmarkEnd w:id="418"/>
      <w:bookmarkEnd w:id="419"/>
      <w:bookmarkEnd w:id="420"/>
      <w:bookmarkEnd w:id="421"/>
      <w:bookmarkEnd w:id="422"/>
      <w:r>
        <w:rPr>
          <w:rFonts w:hint="eastAsia" w:ascii="仿宋_GB2312" w:hAnsi="仿宋_GB2312" w:eastAsia="仿宋_GB2312" w:cs="仿宋_GB2312"/>
          <w:b w:val="0"/>
          <w:bCs/>
          <w:color w:val="auto"/>
          <w:kern w:val="0"/>
          <w:sz w:val="32"/>
          <w:szCs w:val="32"/>
          <w:shd w:val="clear" w:color="auto" w:fill="FFFFFF"/>
        </w:rPr>
        <w:t>市资源规划主管部门推进建设市级国土空间规划实施监测网络，对国土空间开发保护建设的各项行为进行动态监测，对突破或者临近重要控制线、规划约束性指标以及刚性管控要求的行为</w:t>
      </w:r>
      <w:r>
        <w:rPr>
          <w:rFonts w:hint="eastAsia" w:ascii="仿宋_GB2312" w:hAnsi="仿宋_GB2312" w:eastAsia="仿宋_GB2312" w:cs="仿宋_GB2312"/>
          <w:b w:val="0"/>
          <w:bCs/>
          <w:color w:val="auto"/>
          <w:kern w:val="0"/>
          <w:sz w:val="32"/>
          <w:szCs w:val="32"/>
          <w:shd w:val="clear" w:color="auto" w:fill="FFFFFF"/>
          <w:lang w:eastAsia="zh-CN"/>
        </w:rPr>
        <w:t>进行</w:t>
      </w:r>
      <w:r>
        <w:rPr>
          <w:rFonts w:hint="eastAsia" w:ascii="仿宋_GB2312" w:hAnsi="仿宋_GB2312" w:eastAsia="仿宋_GB2312" w:cs="仿宋_GB2312"/>
          <w:b w:val="0"/>
          <w:bCs/>
          <w:color w:val="auto"/>
          <w:kern w:val="0"/>
          <w:sz w:val="32"/>
          <w:szCs w:val="32"/>
          <w:shd w:val="clear" w:color="auto" w:fill="FFFFFF"/>
        </w:rPr>
        <w:t>预警，及时发现问题、评估风险、治理整改。</w:t>
      </w:r>
    </w:p>
    <w:p>
      <w:pPr>
        <w:pageBreakBefore w:val="0"/>
        <w:shd w:val="clear" w:color="auto" w:fill="FFFFFF"/>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kern w:val="0"/>
          <w:sz w:val="32"/>
          <w:szCs w:val="32"/>
          <w:shd w:val="clear" w:color="auto" w:fill="FFFFFF"/>
        </w:rPr>
      </w:pPr>
    </w:p>
    <w:p>
      <w:pPr>
        <w:pStyle w:val="3"/>
        <w:keepNext w:val="0"/>
        <w:keepLines w:val="0"/>
        <w:pageBreakBefore w:val="0"/>
        <w:numPr>
          <w:ilvl w:val="0"/>
          <w:numId w:val="1"/>
        </w:numPr>
        <w:kinsoku/>
        <w:wordWrap/>
        <w:overflowPunct/>
        <w:topLinePunct w:val="0"/>
        <w:bidi w:val="0"/>
        <w:snapToGrid/>
        <w:spacing w:before="0" w:after="0" w:line="360" w:lineRule="auto"/>
        <w:jc w:val="center"/>
        <w:textAlignment w:val="auto"/>
        <w:rPr>
          <w:rFonts w:hint="eastAsia"/>
          <w:b w:val="0"/>
          <w:bCs/>
          <w:color w:val="auto"/>
        </w:rPr>
      </w:pPr>
      <w:bookmarkStart w:id="423" w:name="_Toc2069365539"/>
      <w:bookmarkStart w:id="424" w:name="_Toc463682635"/>
      <w:bookmarkStart w:id="425" w:name="_Toc447235094"/>
      <w:bookmarkStart w:id="426" w:name="_Toc1849024943"/>
      <w:bookmarkStart w:id="427" w:name="_Toc489821985"/>
      <w:bookmarkStart w:id="428" w:name="_Toc1218588667"/>
      <w:r>
        <w:rPr>
          <w:rFonts w:hint="eastAsia"/>
          <w:b w:val="0"/>
          <w:bCs/>
          <w:color w:val="auto"/>
        </w:rPr>
        <w:t>法律责任</w:t>
      </w:r>
      <w:bookmarkEnd w:id="423"/>
      <w:bookmarkEnd w:id="424"/>
      <w:bookmarkEnd w:id="425"/>
      <w:bookmarkEnd w:id="426"/>
      <w:bookmarkEnd w:id="427"/>
      <w:bookmarkEnd w:id="428"/>
    </w:p>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shd w:val="clear" w:color="auto" w:fill="FFFFFF"/>
        </w:rPr>
      </w:pPr>
      <w:bookmarkStart w:id="429" w:name="_Toc961007260"/>
      <w:bookmarkStart w:id="430" w:name="_Toc751391557"/>
      <w:bookmarkStart w:id="431" w:name="_Toc898501057"/>
      <w:bookmarkStart w:id="432" w:name="_Toc1971023852"/>
      <w:bookmarkStart w:id="433" w:name="_Toc1864734034"/>
      <w:bookmarkStart w:id="434" w:name="_Toc1015145541"/>
      <w:r>
        <w:rPr>
          <w:rFonts w:hint="eastAsia" w:ascii="仿宋_GB2312" w:hAnsi="仿宋_GB2312" w:eastAsia="仿宋_GB2312" w:cs="仿宋_GB2312"/>
          <w:color w:val="auto"/>
          <w:lang w:eastAsia="zh-CN"/>
        </w:rPr>
        <w:t>第六十条</w:t>
      </w:r>
      <w:r>
        <w:rPr>
          <w:rFonts w:hint="eastAsia" w:ascii="仿宋_GB2312" w:hAnsi="仿宋_GB2312" w:eastAsia="仿宋_GB2312" w:cs="仿宋_GB2312"/>
          <w:color w:val="auto"/>
        </w:rPr>
        <w:t>【未取得规划条件的</w:t>
      </w:r>
      <w:r>
        <w:rPr>
          <w:rFonts w:hint="eastAsia" w:ascii="仿宋_GB2312" w:hAnsi="仿宋_GB2312" w:eastAsia="仿宋_GB2312" w:cs="仿宋_GB2312"/>
          <w:color w:val="auto"/>
          <w:lang w:val="en-US" w:eastAsia="zh-CN"/>
        </w:rPr>
        <w:t>责任</w:t>
      </w:r>
      <w:r>
        <w:rPr>
          <w:rFonts w:hint="eastAsia" w:ascii="仿宋_GB2312" w:hAnsi="仿宋_GB2312" w:eastAsia="仿宋_GB2312" w:cs="仿宋_GB2312"/>
          <w:color w:val="auto"/>
        </w:rPr>
        <w:t>】</w:t>
      </w:r>
      <w:bookmarkEnd w:id="429"/>
      <w:bookmarkEnd w:id="430"/>
      <w:bookmarkEnd w:id="431"/>
      <w:bookmarkEnd w:id="432"/>
      <w:bookmarkEnd w:id="433"/>
      <w:bookmarkEnd w:id="434"/>
      <w:r>
        <w:rPr>
          <w:rFonts w:hint="eastAsia" w:ascii="仿宋_GB2312" w:eastAsia="仿宋_GB2312" w:cs="仿宋_GB2312"/>
          <w:b w:val="0"/>
          <w:bCs/>
          <w:color w:val="auto"/>
          <w:sz w:val="32"/>
          <w:szCs w:val="32"/>
        </w:rPr>
        <w:t>违反本条例</w:t>
      </w:r>
      <w:r>
        <w:rPr>
          <w:rFonts w:hint="eastAsia" w:ascii="仿宋_GB2312" w:eastAsia="仿宋_GB2312" w:cs="仿宋_GB2312"/>
          <w:b w:val="0"/>
          <w:bCs/>
          <w:color w:val="auto"/>
          <w:sz w:val="32"/>
          <w:szCs w:val="32"/>
          <w:lang w:eastAsia="zh-CN"/>
        </w:rPr>
        <w:t>第三十五条</w:t>
      </w:r>
      <w:r>
        <w:rPr>
          <w:rFonts w:hint="eastAsia" w:ascii="仿宋_GB2312" w:eastAsia="仿宋_GB2312" w:cs="仿宋_GB2312"/>
          <w:b w:val="0"/>
          <w:bCs/>
          <w:color w:val="auto"/>
          <w:sz w:val="32"/>
          <w:szCs w:val="32"/>
        </w:rPr>
        <w:t>规定，</w:t>
      </w:r>
      <w:r>
        <w:rPr>
          <w:rFonts w:hint="eastAsia" w:ascii="仿宋_GB2312" w:hAnsi="仿宋_GB2312" w:eastAsia="仿宋_GB2312" w:cs="仿宋_GB2312"/>
          <w:b w:val="0"/>
          <w:bCs/>
          <w:color w:val="auto"/>
          <w:sz w:val="32"/>
          <w:szCs w:val="32"/>
          <w:shd w:val="clear" w:color="auto" w:fill="FFFFFF"/>
        </w:rPr>
        <w:t>未取得建设工程规划许可证或者乡村建设规划许可证</w:t>
      </w:r>
      <w:r>
        <w:rPr>
          <w:rFonts w:hint="eastAsia" w:ascii="仿宋_GB2312" w:hAnsi="仿宋_GB2312" w:eastAsia="仿宋_GB2312" w:cs="仿宋_GB2312"/>
          <w:b w:val="0"/>
          <w:bCs/>
          <w:color w:val="auto"/>
          <w:sz w:val="32"/>
          <w:szCs w:val="32"/>
          <w:shd w:val="clear" w:color="auto" w:fill="FFFFFF"/>
          <w:lang w:eastAsia="zh-CN"/>
        </w:rPr>
        <w:t>进行建设</w:t>
      </w:r>
      <w:r>
        <w:rPr>
          <w:rFonts w:hint="eastAsia" w:ascii="仿宋_GB2312" w:hAnsi="仿宋_GB2312" w:eastAsia="仿宋_GB2312" w:cs="仿宋_GB2312"/>
          <w:b w:val="0"/>
          <w:bCs/>
          <w:color w:val="auto"/>
          <w:sz w:val="32"/>
          <w:szCs w:val="32"/>
          <w:shd w:val="clear" w:color="auto" w:fill="FFFFFF"/>
        </w:rPr>
        <w:t>的，由城市管理行政执法部门责令停止建设，限期拆除，不能拆除的，没收实物或者违法收入，可以并处整体建设工程造价百分之五以上百分之十以下的罚款。</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eastAsia="仿宋_GB2312" w:cs="仿宋_GB2312"/>
          <w:color w:val="auto"/>
          <w:sz w:val="32"/>
          <w:szCs w:val="32"/>
        </w:rPr>
      </w:pPr>
      <w:bookmarkStart w:id="435" w:name="_Toc587990433"/>
      <w:bookmarkStart w:id="436" w:name="_Toc1289679416"/>
      <w:bookmarkStart w:id="437" w:name="_Toc692584418"/>
      <w:bookmarkStart w:id="438" w:name="_Toc1727208903"/>
      <w:bookmarkStart w:id="439" w:name="_Toc783733419"/>
      <w:bookmarkStart w:id="440" w:name="_Toc357404575"/>
      <w:r>
        <w:rPr>
          <w:rFonts w:hint="eastAsia" w:ascii="仿宋_GB2312" w:hAnsi="仿宋_GB2312" w:eastAsia="仿宋_GB2312" w:cs="仿宋_GB2312"/>
          <w:color w:val="auto"/>
          <w:lang w:eastAsia="zh-CN"/>
        </w:rPr>
        <w:t>第六十一条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未按照</w:t>
      </w:r>
      <w:r>
        <w:rPr>
          <w:rFonts w:hint="eastAsia" w:ascii="仿宋_GB2312" w:hAnsi="仿宋_GB2312" w:eastAsia="仿宋_GB2312" w:cs="仿宋_GB2312"/>
          <w:color w:val="auto"/>
        </w:rPr>
        <w:t>规划条件</w:t>
      </w:r>
      <w:r>
        <w:rPr>
          <w:rFonts w:hint="eastAsia" w:ascii="仿宋_GB2312" w:hAnsi="仿宋_GB2312" w:eastAsia="仿宋_GB2312" w:cs="仿宋_GB2312"/>
          <w:color w:val="auto"/>
          <w:lang w:val="en-US" w:eastAsia="zh-CN"/>
        </w:rPr>
        <w:t>建设</w:t>
      </w:r>
      <w:r>
        <w:rPr>
          <w:rFonts w:hint="eastAsia" w:ascii="仿宋_GB2312" w:hAnsi="仿宋_GB2312" w:eastAsia="仿宋_GB2312" w:cs="仿宋_GB2312"/>
          <w:color w:val="auto"/>
        </w:rPr>
        <w:t>的</w:t>
      </w:r>
      <w:r>
        <w:rPr>
          <w:rFonts w:hint="eastAsia" w:ascii="仿宋_GB2312" w:hAnsi="仿宋_GB2312" w:eastAsia="仿宋_GB2312" w:cs="仿宋_GB2312"/>
          <w:color w:val="auto"/>
          <w:lang w:val="en-US" w:eastAsia="zh-CN"/>
        </w:rPr>
        <w:t>责任</w:t>
      </w:r>
      <w:r>
        <w:rPr>
          <w:rFonts w:hint="eastAsia" w:ascii="仿宋_GB2312" w:hAnsi="仿宋_GB2312" w:eastAsia="仿宋_GB2312" w:cs="仿宋_GB2312"/>
          <w:color w:val="auto"/>
        </w:rPr>
        <w:t>】</w:t>
      </w:r>
      <w:bookmarkEnd w:id="435"/>
      <w:bookmarkEnd w:id="436"/>
      <w:bookmarkEnd w:id="437"/>
      <w:bookmarkEnd w:id="438"/>
      <w:bookmarkEnd w:id="439"/>
      <w:bookmarkEnd w:id="440"/>
      <w:r>
        <w:rPr>
          <w:rFonts w:hint="eastAsia" w:ascii="仿宋_GB2312" w:eastAsia="仿宋_GB2312" w:cs="仿宋_GB2312"/>
          <w:b w:val="0"/>
          <w:bCs/>
          <w:color w:val="auto"/>
          <w:sz w:val="32"/>
          <w:szCs w:val="32"/>
        </w:rPr>
        <w:t>违反本条例</w:t>
      </w:r>
      <w:r>
        <w:rPr>
          <w:rFonts w:hint="eastAsia" w:ascii="仿宋_GB2312" w:eastAsia="仿宋_GB2312" w:cs="仿宋_GB2312"/>
          <w:b w:val="0"/>
          <w:bCs/>
          <w:color w:val="auto"/>
          <w:sz w:val="32"/>
          <w:szCs w:val="32"/>
          <w:lang w:eastAsia="zh-CN"/>
        </w:rPr>
        <w:t>第三十八条、三十九条、四十二条</w:t>
      </w:r>
      <w:r>
        <w:rPr>
          <w:rFonts w:hint="eastAsia" w:ascii="仿宋_GB2312" w:eastAsia="仿宋_GB2312" w:cs="仿宋_GB2312"/>
          <w:b w:val="0"/>
          <w:bCs/>
          <w:color w:val="auto"/>
          <w:sz w:val="32"/>
          <w:szCs w:val="32"/>
        </w:rPr>
        <w:t>规定，未按照建设工程规划许可证或者乡村建设许可证的规定进行建设的，</w:t>
      </w:r>
      <w:r>
        <w:rPr>
          <w:rFonts w:hint="eastAsia" w:ascii="仿宋_GB2312" w:eastAsia="仿宋_GB2312" w:cs="仿宋_GB2312"/>
          <w:b w:val="0"/>
          <w:bCs/>
          <w:color w:val="auto"/>
          <w:sz w:val="32"/>
          <w:szCs w:val="32"/>
          <w:lang w:val="en-US" w:eastAsia="zh-CN"/>
        </w:rPr>
        <w:t>或者未按照豁免要求建设的，</w:t>
      </w:r>
      <w:r>
        <w:rPr>
          <w:rFonts w:hint="eastAsia" w:ascii="仿宋_GB2312" w:eastAsia="仿宋_GB2312" w:cs="仿宋_GB2312"/>
          <w:b w:val="0"/>
          <w:bCs/>
          <w:color w:val="auto"/>
          <w:sz w:val="32"/>
          <w:szCs w:val="32"/>
        </w:rPr>
        <w:t>由城市管理行政执法部门责令停止建设；尚可采取改正措施消除对规划实施的影响的，责令其限期改正，处以违法部分建设工程造价百分之五以上百分之十以下的罚款；无法采取改正措施消除影响的，责令限期拆除，不能拆除的，没收实物或者违法收入，处以违法部分建设工程造价百分之十以下的罚款。</w:t>
      </w:r>
    </w:p>
    <w:p>
      <w:pPr>
        <w:pageBreakBefore w:val="0"/>
        <w:kinsoku/>
        <w:wordWrap/>
        <w:overflowPunct/>
        <w:topLinePunct w:val="0"/>
        <w:bidi w:val="0"/>
        <w:snapToGrid/>
        <w:spacing w:line="360" w:lineRule="auto"/>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属于尚可采取改正措施消除对规划实施影响的，是指取得建设工程规划许可证，但未按建设工程规划许可证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乡村规划许可证</w:t>
      </w:r>
      <w:r>
        <w:rPr>
          <w:rFonts w:hint="eastAsia" w:ascii="仿宋_GB2312" w:eastAsia="仿宋_GB2312" w:cs="仿宋_GB2312"/>
          <w:color w:val="auto"/>
          <w:sz w:val="32"/>
          <w:szCs w:val="32"/>
        </w:rPr>
        <w:t>的规定进行建设，在限期内采取局部拆除等整改措施，能够使建设工程符合建设工程规划许可证要求的。</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Calibri" w:eastAsia="仿宋_GB2312" w:cs="仿宋_GB2312"/>
          <w:b w:val="0"/>
          <w:color w:val="auto"/>
          <w:kern w:val="2"/>
          <w:sz w:val="32"/>
          <w:szCs w:val="32"/>
          <w:lang w:val="en-US" w:eastAsia="zh-CN" w:bidi="ar-SA"/>
        </w:rPr>
      </w:pPr>
      <w:bookmarkStart w:id="441" w:name="_Toc297691064"/>
      <w:bookmarkStart w:id="442" w:name="_Toc2080629259"/>
      <w:bookmarkStart w:id="443" w:name="_Toc1845963830"/>
      <w:bookmarkStart w:id="444" w:name="_Toc554355565"/>
      <w:bookmarkStart w:id="445" w:name="_Toc1089154290"/>
      <w:bookmarkStart w:id="446" w:name="_Toc339509768"/>
      <w:r>
        <w:rPr>
          <w:rFonts w:hint="eastAsia" w:ascii="仿宋_GB2312" w:hAnsi="仿宋_GB2312" w:eastAsia="仿宋_GB2312" w:cs="仿宋_GB2312"/>
          <w:color w:val="auto"/>
          <w:lang w:eastAsia="zh-CN"/>
        </w:rPr>
        <w:t>第六十二条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未设立公告牌</w:t>
      </w:r>
      <w:r>
        <w:rPr>
          <w:rFonts w:hint="eastAsia" w:ascii="仿宋_GB2312" w:hAnsi="仿宋_GB2312" w:eastAsia="仿宋_GB2312" w:cs="仿宋_GB2312"/>
          <w:color w:val="auto"/>
        </w:rPr>
        <w:t>的</w:t>
      </w:r>
      <w:r>
        <w:rPr>
          <w:rFonts w:hint="eastAsia" w:ascii="仿宋_GB2312" w:hAnsi="仿宋_GB2312" w:eastAsia="仿宋_GB2312" w:cs="仿宋_GB2312"/>
          <w:color w:val="auto"/>
          <w:lang w:val="en-US" w:eastAsia="zh-CN"/>
        </w:rPr>
        <w:t>责任</w:t>
      </w:r>
      <w:r>
        <w:rPr>
          <w:rFonts w:hint="eastAsia" w:ascii="仿宋_GB2312" w:hAnsi="仿宋_GB2312" w:eastAsia="仿宋_GB2312" w:cs="仿宋_GB2312"/>
          <w:color w:val="auto"/>
        </w:rPr>
        <w:t>】</w:t>
      </w:r>
      <w:bookmarkEnd w:id="441"/>
      <w:bookmarkEnd w:id="442"/>
      <w:bookmarkEnd w:id="443"/>
      <w:bookmarkEnd w:id="444"/>
      <w:bookmarkEnd w:id="445"/>
      <w:bookmarkEnd w:id="446"/>
      <w:bookmarkStart w:id="447" w:name="_Toc373484197"/>
      <w:bookmarkStart w:id="448" w:name="_Toc1345405864"/>
      <w:bookmarkStart w:id="449" w:name="_Toc10942"/>
      <w:bookmarkStart w:id="450" w:name="_Toc353631402"/>
      <w:bookmarkStart w:id="451" w:name="_Toc16672"/>
      <w:bookmarkStart w:id="452" w:name="_Toc1941958628"/>
      <w:bookmarkStart w:id="453" w:name="_Toc1436537804"/>
      <w:bookmarkStart w:id="454" w:name="_Toc1856115427"/>
      <w:bookmarkStart w:id="455" w:name="_Toc512406084"/>
      <w:bookmarkStart w:id="456" w:name="_Toc1514481204"/>
      <w:bookmarkStart w:id="457" w:name="_Toc1158651902"/>
      <w:bookmarkStart w:id="458" w:name="_Toc1531829428"/>
      <w:bookmarkStart w:id="459" w:name="_Toc1617703882"/>
      <w:bookmarkStart w:id="460" w:name="_Toc1748001931"/>
      <w:bookmarkStart w:id="461" w:name="_Toc164744345"/>
      <w:r>
        <w:rPr>
          <w:rFonts w:hint="eastAsia" w:ascii="仿宋_GB2312" w:hAnsi="仿宋_GB2312" w:eastAsia="仿宋_GB2312" w:cs="仿宋_GB2312"/>
          <w:b w:val="0"/>
          <w:bCs/>
          <w:color w:val="auto"/>
          <w:lang w:val="en-US" w:eastAsia="zh-CN"/>
        </w:rPr>
        <w:t>违反本</w:t>
      </w:r>
      <w:r>
        <w:rPr>
          <w:rFonts w:hint="eastAsia" w:ascii="仿宋_GB2312" w:hAnsi="Calibri" w:eastAsia="仿宋_GB2312" w:cs="仿宋_GB2312"/>
          <w:b w:val="0"/>
          <w:color w:val="auto"/>
          <w:kern w:val="2"/>
          <w:sz w:val="32"/>
          <w:szCs w:val="32"/>
          <w:lang w:val="en-US" w:eastAsia="zh-CN" w:bidi="ar-SA"/>
        </w:rPr>
        <w:t>条例</w:t>
      </w:r>
      <w:r>
        <w:rPr>
          <w:rFonts w:hint="eastAsia" w:ascii="仿宋_GB2312" w:eastAsia="仿宋_GB2312" w:cs="仿宋_GB2312"/>
          <w:b w:val="0"/>
          <w:color w:val="auto"/>
          <w:kern w:val="2"/>
          <w:sz w:val="32"/>
          <w:szCs w:val="32"/>
          <w:lang w:val="en-US" w:eastAsia="zh-CN" w:bidi="ar-SA"/>
        </w:rPr>
        <w:t>第四十六条</w:t>
      </w:r>
      <w:r>
        <w:rPr>
          <w:rFonts w:hint="eastAsia" w:ascii="仿宋_GB2312" w:hAnsi="Calibri" w:eastAsia="仿宋_GB2312" w:cs="仿宋_GB2312"/>
          <w:b w:val="0"/>
          <w:color w:val="auto"/>
          <w:kern w:val="2"/>
          <w:sz w:val="32"/>
          <w:szCs w:val="32"/>
          <w:lang w:val="en-US" w:eastAsia="zh-CN" w:bidi="ar-SA"/>
        </w:rPr>
        <w:t>规定，未在施工现场设立建设工程规划许可公告牌，对外公示建设工程规划许可证以及建设工程设计方案总平面图的，由城市管理行政执法部门责令限期改正；逾期未改正的，处一万元罚款。</w:t>
      </w:r>
      <w:bookmarkEnd w:id="447"/>
      <w:bookmarkEnd w:id="448"/>
      <w:bookmarkEnd w:id="449"/>
    </w:p>
    <w:bookmarkEnd w:id="450"/>
    <w:bookmarkEnd w:id="451"/>
    <w:bookmarkEnd w:id="452"/>
    <w:bookmarkEnd w:id="453"/>
    <w:bookmarkEnd w:id="454"/>
    <w:bookmarkEnd w:id="455"/>
    <w:bookmarkEnd w:id="456"/>
    <w:bookmarkEnd w:id="457"/>
    <w:bookmarkEnd w:id="458"/>
    <w:bookmarkEnd w:id="459"/>
    <w:bookmarkEnd w:id="460"/>
    <w:bookmarkEnd w:id="461"/>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Calibri" w:eastAsia="仿宋_GB2312" w:cs="仿宋_GB2312"/>
          <w:color w:val="auto"/>
          <w:sz w:val="32"/>
          <w:szCs w:val="32"/>
        </w:rPr>
      </w:pPr>
      <w:bookmarkStart w:id="462" w:name="_Toc694618746"/>
      <w:bookmarkStart w:id="463" w:name="_Toc1271883092"/>
      <w:bookmarkStart w:id="464" w:name="_Toc303393019"/>
      <w:bookmarkStart w:id="465" w:name="_Toc1145789580"/>
      <w:bookmarkStart w:id="466" w:name="_Toc1818856600"/>
      <w:bookmarkStart w:id="467" w:name="_Toc1669932509"/>
      <w:r>
        <w:rPr>
          <w:rFonts w:hint="eastAsia" w:ascii="仿宋_GB2312" w:hAnsi="仿宋_GB2312" w:eastAsia="仿宋_GB2312" w:cs="仿宋_GB2312"/>
          <w:color w:val="auto"/>
          <w:lang w:eastAsia="zh-CN"/>
        </w:rPr>
        <w:t>第六十三条</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未复测进行建设</w:t>
      </w:r>
      <w:r>
        <w:rPr>
          <w:rFonts w:hint="eastAsia" w:ascii="仿宋_GB2312" w:hAnsi="仿宋_GB2312" w:eastAsia="仿宋_GB2312" w:cs="仿宋_GB2312"/>
          <w:color w:val="auto"/>
        </w:rPr>
        <w:t>的</w:t>
      </w:r>
      <w:r>
        <w:rPr>
          <w:rFonts w:hint="eastAsia" w:ascii="仿宋_GB2312" w:hAnsi="仿宋_GB2312" w:eastAsia="仿宋_GB2312" w:cs="仿宋_GB2312"/>
          <w:color w:val="auto"/>
          <w:lang w:val="en-US" w:eastAsia="zh-CN"/>
        </w:rPr>
        <w:t>责任</w:t>
      </w:r>
      <w:r>
        <w:rPr>
          <w:rFonts w:hint="eastAsia" w:ascii="仿宋_GB2312" w:hAnsi="仿宋_GB2312" w:eastAsia="仿宋_GB2312" w:cs="仿宋_GB2312"/>
          <w:color w:val="auto"/>
        </w:rPr>
        <w:t>】</w:t>
      </w:r>
      <w:bookmarkEnd w:id="462"/>
      <w:bookmarkEnd w:id="463"/>
      <w:bookmarkEnd w:id="464"/>
      <w:bookmarkEnd w:id="465"/>
      <w:bookmarkEnd w:id="466"/>
      <w:bookmarkEnd w:id="467"/>
      <w:r>
        <w:rPr>
          <w:rFonts w:hint="eastAsia" w:ascii="仿宋_GB2312" w:hAnsi="Calibri" w:eastAsia="仿宋_GB2312" w:cs="仿宋_GB2312"/>
          <w:b w:val="0"/>
          <w:bCs/>
          <w:color w:val="auto"/>
          <w:sz w:val="32"/>
          <w:szCs w:val="32"/>
        </w:rPr>
        <w:t>违反本条例</w:t>
      </w:r>
      <w:r>
        <w:rPr>
          <w:rFonts w:hint="eastAsia" w:ascii="仿宋_GB2312" w:eastAsia="仿宋_GB2312" w:cs="仿宋_GB2312"/>
          <w:b w:val="0"/>
          <w:bCs/>
          <w:color w:val="auto"/>
          <w:sz w:val="32"/>
          <w:szCs w:val="32"/>
          <w:lang w:eastAsia="zh-CN"/>
        </w:rPr>
        <w:t>第四十七条</w:t>
      </w:r>
      <w:r>
        <w:rPr>
          <w:rFonts w:hint="eastAsia" w:ascii="仿宋_GB2312" w:hAnsi="Calibri" w:eastAsia="仿宋_GB2312" w:cs="仿宋_GB2312"/>
          <w:b w:val="0"/>
          <w:bCs/>
          <w:color w:val="auto"/>
          <w:sz w:val="32"/>
          <w:szCs w:val="32"/>
        </w:rPr>
        <w:t>规定，未经建设工程复测，擅自继续建设的，由城市管理行政执法部门责令改正，处以一万元以上五万元以下罚款。经复测不满足建设工程规划许可证要求</w:t>
      </w:r>
      <w:r>
        <w:rPr>
          <w:rFonts w:hint="eastAsia" w:ascii="仿宋_GB2312" w:hAnsi="Calibri" w:eastAsia="仿宋_GB2312" w:cs="仿宋_GB2312"/>
          <w:b w:val="0"/>
          <w:bCs/>
          <w:color w:val="auto"/>
          <w:sz w:val="32"/>
          <w:szCs w:val="32"/>
          <w:lang w:eastAsia="zh-CN"/>
        </w:rPr>
        <w:t>的，</w:t>
      </w:r>
      <w:r>
        <w:rPr>
          <w:rFonts w:hint="eastAsia" w:ascii="仿宋_GB2312" w:hAnsi="Calibri" w:eastAsia="仿宋_GB2312" w:cs="仿宋_GB2312"/>
          <w:b w:val="0"/>
          <w:bCs/>
          <w:color w:val="auto"/>
          <w:sz w:val="32"/>
          <w:szCs w:val="32"/>
        </w:rPr>
        <w:t>由城市管理行政执法部门</w:t>
      </w:r>
      <w:r>
        <w:rPr>
          <w:rFonts w:hint="eastAsia" w:ascii="仿宋_GB2312" w:hAnsi="Calibri" w:eastAsia="仿宋_GB2312" w:cs="仿宋_GB2312"/>
          <w:b w:val="0"/>
          <w:bCs/>
          <w:color w:val="auto"/>
          <w:sz w:val="32"/>
          <w:szCs w:val="32"/>
          <w:lang w:eastAsia="zh-CN"/>
        </w:rPr>
        <w:t>责令停止建设。</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bookmarkStart w:id="468" w:name="_Toc600793394"/>
      <w:bookmarkStart w:id="469" w:name="_Toc553858922"/>
      <w:bookmarkStart w:id="470" w:name="_Toc1184881240"/>
      <w:bookmarkStart w:id="471" w:name="_Toc2005352402"/>
      <w:bookmarkStart w:id="472" w:name="_Toc1366590199"/>
      <w:bookmarkStart w:id="473" w:name="_Toc155386138"/>
      <w:r>
        <w:rPr>
          <w:rFonts w:hint="eastAsia" w:ascii="仿宋_GB2312" w:hAnsi="仿宋_GB2312" w:eastAsia="仿宋_GB2312" w:cs="仿宋_GB2312"/>
          <w:color w:val="auto"/>
          <w:lang w:eastAsia="zh-CN"/>
        </w:rPr>
        <w:t>第六十四条</w:t>
      </w:r>
      <w:r>
        <w:rPr>
          <w:rFonts w:hint="eastAsia" w:ascii="仿宋_GB2312" w:hAnsi="仿宋_GB2312" w:eastAsia="仿宋_GB2312" w:cs="仿宋_GB2312"/>
          <w:color w:val="auto"/>
        </w:rPr>
        <w:t>【竣工后改变建筑功能</w:t>
      </w:r>
      <w:r>
        <w:rPr>
          <w:rFonts w:hint="eastAsia" w:ascii="仿宋_GB2312" w:hAnsi="仿宋_GB2312" w:eastAsia="仿宋_GB2312" w:cs="仿宋_GB2312"/>
          <w:color w:val="auto"/>
          <w:lang w:eastAsia="zh-CN"/>
        </w:rPr>
        <w:t>的</w:t>
      </w:r>
      <w:r>
        <w:rPr>
          <w:rFonts w:hint="eastAsia" w:ascii="仿宋_GB2312" w:hAnsi="仿宋_GB2312" w:eastAsia="仿宋_GB2312" w:cs="仿宋_GB2312"/>
          <w:color w:val="auto"/>
          <w:lang w:val="en-US" w:eastAsia="zh-CN"/>
        </w:rPr>
        <w:t>责任</w:t>
      </w:r>
      <w:r>
        <w:rPr>
          <w:rFonts w:hint="eastAsia" w:ascii="仿宋_GB2312" w:hAnsi="仿宋_GB2312" w:eastAsia="仿宋_GB2312" w:cs="仿宋_GB2312"/>
          <w:color w:val="auto"/>
        </w:rPr>
        <w:t>】</w:t>
      </w:r>
      <w:bookmarkEnd w:id="468"/>
      <w:bookmarkEnd w:id="469"/>
      <w:bookmarkEnd w:id="470"/>
      <w:bookmarkEnd w:id="471"/>
      <w:bookmarkEnd w:id="472"/>
      <w:bookmarkEnd w:id="473"/>
      <w:r>
        <w:rPr>
          <w:rFonts w:hint="eastAsia" w:ascii="仿宋_GB2312" w:hAnsi="仿宋_GB2312" w:eastAsia="仿宋_GB2312" w:cs="仿宋_GB2312"/>
          <w:b w:val="0"/>
          <w:bCs/>
          <w:color w:val="auto"/>
          <w:sz w:val="32"/>
          <w:szCs w:val="32"/>
          <w:shd w:val="clear" w:color="auto" w:fill="FFFFFF"/>
        </w:rPr>
        <w:t>违反本条例</w:t>
      </w:r>
      <w:r>
        <w:rPr>
          <w:rFonts w:hint="eastAsia" w:ascii="仿宋_GB2312" w:hAnsi="仿宋_GB2312" w:eastAsia="仿宋_GB2312" w:cs="仿宋_GB2312"/>
          <w:b w:val="0"/>
          <w:bCs/>
          <w:color w:val="auto"/>
          <w:sz w:val="32"/>
          <w:szCs w:val="32"/>
          <w:shd w:val="clear" w:color="auto" w:fill="FFFFFF"/>
          <w:lang w:eastAsia="zh-CN"/>
        </w:rPr>
        <w:t>第四十九条</w:t>
      </w:r>
      <w:r>
        <w:rPr>
          <w:rFonts w:hint="eastAsia" w:ascii="仿宋_GB2312" w:hAnsi="仿宋_GB2312" w:eastAsia="仿宋_GB2312" w:cs="仿宋_GB2312"/>
          <w:b w:val="0"/>
          <w:bCs/>
          <w:color w:val="auto"/>
          <w:sz w:val="32"/>
          <w:szCs w:val="32"/>
          <w:shd w:val="clear" w:color="auto" w:fill="FFFFFF"/>
        </w:rPr>
        <w:t>规定，建设工程竣工验收后，擅自改变建筑物、构筑物和其他设施使用功能影响国土空间规划实施的，由城市管理行政执法部门责令限期改正，处</w:t>
      </w:r>
      <w:r>
        <w:rPr>
          <w:rFonts w:hint="eastAsia" w:ascii="仿宋_GB2312" w:hAnsi="仿宋_GB2312" w:eastAsia="仿宋_GB2312" w:cs="仿宋_GB2312"/>
          <w:b w:val="0"/>
          <w:bCs/>
          <w:color w:val="auto"/>
          <w:sz w:val="32"/>
          <w:szCs w:val="32"/>
          <w:shd w:val="clear" w:color="auto" w:fill="FFFFFF"/>
          <w:lang w:val="en-US" w:eastAsia="zh-CN"/>
        </w:rPr>
        <w:t>建筑工程造价</w:t>
      </w:r>
      <w:r>
        <w:rPr>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百分之五以上百分之十以下的罚款。</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rPr>
      </w:pPr>
      <w:bookmarkStart w:id="474" w:name="_Toc1190991830"/>
      <w:bookmarkStart w:id="475" w:name="_Toc1380076389"/>
      <w:bookmarkStart w:id="476" w:name="_Toc1730173637"/>
      <w:bookmarkStart w:id="477" w:name="_Toc1120855435"/>
      <w:bookmarkStart w:id="478" w:name="_Toc838069023"/>
      <w:bookmarkStart w:id="479" w:name="_Toc2038237906"/>
      <w:r>
        <w:rPr>
          <w:rFonts w:hint="eastAsia" w:ascii="仿宋_GB2312" w:hAnsi="仿宋_GB2312" w:eastAsia="仿宋_GB2312" w:cs="仿宋_GB2312"/>
          <w:color w:val="auto"/>
          <w:lang w:eastAsia="zh-CN"/>
        </w:rPr>
        <w:t>第六十五条</w:t>
      </w:r>
      <w:r>
        <w:rPr>
          <w:rFonts w:hint="eastAsia" w:ascii="仿宋_GB2312" w:hAnsi="仿宋_GB2312" w:eastAsia="仿宋_GB2312" w:cs="仿宋_GB2312"/>
          <w:color w:val="auto"/>
        </w:rPr>
        <w:t>【违反临时规划许可的</w:t>
      </w:r>
      <w:r>
        <w:rPr>
          <w:rFonts w:hint="eastAsia" w:ascii="仿宋_GB2312" w:hAnsi="仿宋_GB2312" w:eastAsia="仿宋_GB2312" w:cs="仿宋_GB2312"/>
          <w:color w:val="auto"/>
          <w:lang w:val="en-US" w:eastAsia="zh-CN"/>
        </w:rPr>
        <w:t>责任</w:t>
      </w:r>
      <w:r>
        <w:rPr>
          <w:rFonts w:hint="eastAsia" w:ascii="仿宋_GB2312" w:hAnsi="仿宋_GB2312" w:eastAsia="仿宋_GB2312" w:cs="仿宋_GB2312"/>
          <w:color w:val="auto"/>
        </w:rPr>
        <w:t>】</w:t>
      </w:r>
      <w:bookmarkEnd w:id="474"/>
      <w:bookmarkEnd w:id="475"/>
      <w:bookmarkEnd w:id="476"/>
      <w:bookmarkEnd w:id="477"/>
      <w:bookmarkEnd w:id="478"/>
      <w:bookmarkEnd w:id="479"/>
      <w:r>
        <w:rPr>
          <w:rFonts w:hint="eastAsia" w:ascii="仿宋_GB2312" w:eastAsia="仿宋_GB2312" w:cs="仿宋_GB2312"/>
          <w:b w:val="0"/>
          <w:bCs/>
          <w:color w:val="auto"/>
          <w:sz w:val="32"/>
          <w:szCs w:val="32"/>
        </w:rPr>
        <w:t>违反本条例</w:t>
      </w:r>
      <w:r>
        <w:rPr>
          <w:rFonts w:hint="eastAsia" w:ascii="仿宋_GB2312" w:eastAsia="仿宋_GB2312" w:cs="仿宋_GB2312"/>
          <w:b w:val="0"/>
          <w:bCs/>
          <w:color w:val="auto"/>
          <w:sz w:val="32"/>
          <w:szCs w:val="32"/>
          <w:lang w:eastAsia="zh-CN"/>
        </w:rPr>
        <w:t>第四十条</w:t>
      </w:r>
      <w:r>
        <w:rPr>
          <w:rFonts w:hint="eastAsia" w:ascii="仿宋_GB2312" w:eastAsia="仿宋_GB2312" w:cs="仿宋_GB2312"/>
          <w:b w:val="0"/>
          <w:bCs/>
          <w:color w:val="auto"/>
          <w:sz w:val="32"/>
          <w:szCs w:val="32"/>
        </w:rPr>
        <w:t>规定，建设单位未按照临时建设工程规划许可证进行建设的，由</w:t>
      </w:r>
      <w:r>
        <w:rPr>
          <w:rFonts w:ascii="仿宋_GB2312" w:eastAsia="仿宋_GB2312" w:cs="仿宋_GB2312"/>
          <w:b w:val="0"/>
          <w:bCs/>
          <w:color w:val="auto"/>
          <w:sz w:val="32"/>
          <w:szCs w:val="32"/>
        </w:rPr>
        <w:t>城市管理行政执法</w:t>
      </w:r>
      <w:r>
        <w:rPr>
          <w:rFonts w:hint="eastAsia" w:ascii="仿宋_GB2312" w:eastAsia="仿宋_GB2312" w:cs="仿宋_GB2312"/>
          <w:b w:val="0"/>
          <w:bCs/>
          <w:color w:val="auto"/>
          <w:sz w:val="32"/>
          <w:szCs w:val="32"/>
        </w:rPr>
        <w:t>主管</w:t>
      </w:r>
      <w:r>
        <w:rPr>
          <w:rFonts w:ascii="仿宋_GB2312" w:eastAsia="仿宋_GB2312" w:cs="仿宋_GB2312"/>
          <w:b w:val="0"/>
          <w:bCs/>
          <w:color w:val="auto"/>
          <w:sz w:val="32"/>
          <w:szCs w:val="32"/>
        </w:rPr>
        <w:t>部门</w:t>
      </w:r>
      <w:r>
        <w:rPr>
          <w:rFonts w:hint="eastAsia" w:ascii="仿宋_GB2312" w:eastAsia="仿宋_GB2312" w:cs="仿宋_GB2312"/>
          <w:b w:val="0"/>
          <w:bCs/>
          <w:color w:val="auto"/>
          <w:sz w:val="32"/>
          <w:szCs w:val="32"/>
        </w:rPr>
        <w:t>责令限期改正；逾期不改正的，予以拆除，可以并处临时建设工程造价一倍以下的罚款。</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rPr>
      </w:pPr>
      <w:bookmarkStart w:id="480" w:name="_Toc1966601087"/>
      <w:bookmarkStart w:id="481" w:name="_Toc138956149"/>
      <w:bookmarkStart w:id="482" w:name="_Toc266367176"/>
      <w:bookmarkStart w:id="483" w:name="_Toc79405359"/>
      <w:bookmarkStart w:id="484" w:name="_Toc1860552034"/>
      <w:bookmarkStart w:id="485" w:name="_Toc421035057"/>
      <w:r>
        <w:rPr>
          <w:rFonts w:hint="eastAsia" w:ascii="仿宋_GB2312" w:hAnsi="仿宋_GB2312" w:eastAsia="仿宋_GB2312" w:cs="仿宋_GB2312"/>
          <w:color w:val="auto"/>
          <w:lang w:eastAsia="zh-CN"/>
        </w:rPr>
        <w:t>第六十六条</w:t>
      </w:r>
      <w:r>
        <w:rPr>
          <w:rFonts w:hint="eastAsia" w:ascii="仿宋_GB2312" w:hAnsi="仿宋_GB2312" w:eastAsia="仿宋_GB2312" w:cs="仿宋_GB2312"/>
          <w:color w:val="auto"/>
        </w:rPr>
        <w:t>【强制措施】</w:t>
      </w:r>
      <w:bookmarkEnd w:id="480"/>
      <w:bookmarkEnd w:id="481"/>
      <w:bookmarkEnd w:id="482"/>
      <w:bookmarkEnd w:id="483"/>
      <w:bookmarkEnd w:id="484"/>
      <w:bookmarkEnd w:id="485"/>
      <w:r>
        <w:rPr>
          <w:rFonts w:hint="eastAsia" w:ascii="仿宋_GB2312" w:hAnsi="仿宋_GB2312" w:eastAsia="仿宋_GB2312" w:cs="仿宋_GB2312"/>
          <w:b w:val="0"/>
          <w:bCs/>
          <w:color w:val="auto"/>
          <w:kern w:val="2"/>
          <w:sz w:val="32"/>
          <w:szCs w:val="32"/>
          <w:lang w:val="en-US" w:eastAsia="zh-CN" w:bidi="ar-SA"/>
        </w:rPr>
        <w:t>违反本条例规定，</w:t>
      </w:r>
      <w:r>
        <w:rPr>
          <w:rFonts w:hint="eastAsia" w:ascii="仿宋_GB2312" w:hAnsi="仿宋_GB2312" w:eastAsia="仿宋_GB2312" w:cs="仿宋_GB2312"/>
          <w:b w:val="0"/>
          <w:bCs/>
          <w:color w:val="auto"/>
          <w:sz w:val="32"/>
          <w:szCs w:val="32"/>
        </w:rPr>
        <w:t>城市管理行政执法主管部门作出责令停止建设、限期拆除的决定后，当事人不停止建设或者逾期不拆除的，由城市管理行政执法主管部门依法查封施工现场，依照有关规定实施强制拆除。</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rPr>
      </w:pPr>
      <w:bookmarkStart w:id="486" w:name="_Toc1641270470"/>
      <w:bookmarkStart w:id="487" w:name="_Toc1715744086"/>
      <w:bookmarkStart w:id="488" w:name="_Toc1353176452"/>
      <w:bookmarkStart w:id="489" w:name="_Toc1719781586"/>
      <w:bookmarkStart w:id="490" w:name="_Toc1708899921"/>
      <w:bookmarkStart w:id="491" w:name="_Toc1279530788"/>
      <w:r>
        <w:rPr>
          <w:rFonts w:hint="eastAsia" w:ascii="仿宋_GB2312" w:hAnsi="仿宋_GB2312" w:eastAsia="仿宋_GB2312" w:cs="仿宋_GB2312"/>
          <w:color w:val="auto"/>
          <w:lang w:eastAsia="zh-CN"/>
        </w:rPr>
        <w:t>第六十七条</w:t>
      </w:r>
      <w:r>
        <w:rPr>
          <w:rFonts w:hint="eastAsia" w:ascii="仿宋_GB2312" w:hAnsi="仿宋_GB2312" w:eastAsia="仿宋_GB2312" w:cs="仿宋_GB2312"/>
          <w:color w:val="auto"/>
        </w:rPr>
        <w:t>【法律责任的一般规则】</w:t>
      </w:r>
      <w:r>
        <w:rPr>
          <w:rFonts w:hint="eastAsia" w:ascii="仿宋_GB2312" w:hAnsi="仿宋_GB2312" w:eastAsia="仿宋_GB2312" w:cs="仿宋_GB2312"/>
          <w:b w:val="0"/>
          <w:bCs/>
          <w:i w:val="0"/>
          <w:iCs w:val="0"/>
          <w:caps w:val="0"/>
          <w:color w:val="111111"/>
          <w:spacing w:val="0"/>
          <w:kern w:val="0"/>
          <w:sz w:val="32"/>
          <w:szCs w:val="32"/>
          <w:shd w:val="clear" w:fill="FFFFFF"/>
          <w:lang w:val="en-US" w:eastAsia="zh-CN" w:bidi="ar"/>
        </w:rPr>
        <w:t>其他违反本条例规定的行为，法律、法规已有法律责任规定的，从其规定。</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lang w:eastAsia="zh-CN"/>
        </w:rPr>
        <w:t>第六十八条</w:t>
      </w:r>
      <w:r>
        <w:rPr>
          <w:rFonts w:hint="eastAsia" w:ascii="仿宋_GB2312" w:hAnsi="仿宋_GB2312" w:eastAsia="仿宋_GB2312" w:cs="仿宋_GB2312"/>
          <w:color w:val="auto"/>
        </w:rPr>
        <w:t>【</w:t>
      </w:r>
      <w:r>
        <w:rPr>
          <w:rFonts w:ascii="仿宋_GB2312" w:hAnsi="仿宋_GB2312" w:eastAsia="仿宋_GB2312" w:cs="仿宋_GB2312"/>
          <w:color w:val="auto"/>
        </w:rPr>
        <w:t>未履职处罚</w:t>
      </w:r>
      <w:r>
        <w:rPr>
          <w:rFonts w:hint="eastAsia" w:ascii="仿宋_GB2312" w:hAnsi="仿宋_GB2312" w:eastAsia="仿宋_GB2312" w:cs="仿宋_GB2312"/>
          <w:color w:val="auto"/>
        </w:rPr>
        <w:t>】</w:t>
      </w:r>
      <w:bookmarkEnd w:id="486"/>
      <w:bookmarkEnd w:id="487"/>
      <w:bookmarkEnd w:id="488"/>
      <w:bookmarkEnd w:id="489"/>
      <w:bookmarkEnd w:id="490"/>
      <w:bookmarkEnd w:id="491"/>
      <w:r>
        <w:rPr>
          <w:rFonts w:hint="eastAsia" w:ascii="仿宋_GB2312" w:hAnsi="仿宋_GB2312" w:eastAsia="仿宋_GB2312" w:cs="仿宋_GB2312"/>
          <w:b w:val="0"/>
          <w:bCs/>
          <w:color w:val="auto"/>
          <w:sz w:val="32"/>
          <w:szCs w:val="32"/>
          <w:shd w:val="clear" w:color="auto" w:fill="FFFFFF"/>
        </w:rPr>
        <w:t>有关行政主管部门、行政执法部门工作人员违反本条例玩忽职守、滥用职权、徇私舞弊的，由其所在单位或者上级主管机关给予行政处分</w:t>
      </w: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rPr>
        <w:t>构成犯罪的，依法追究刑事责任。</w:t>
      </w:r>
    </w:p>
    <w:p>
      <w:pPr>
        <w:pageBreakBefore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auto"/>
          <w:sz w:val="32"/>
          <w:szCs w:val="32"/>
          <w:shd w:val="clear" w:color="auto" w:fill="FFFFFF"/>
        </w:rPr>
      </w:pPr>
    </w:p>
    <w:p>
      <w:pPr>
        <w:pStyle w:val="3"/>
        <w:keepNext w:val="0"/>
        <w:keepLines w:val="0"/>
        <w:pageBreakBefore w:val="0"/>
        <w:numPr>
          <w:ilvl w:val="0"/>
          <w:numId w:val="1"/>
        </w:numPr>
        <w:kinsoku/>
        <w:wordWrap/>
        <w:overflowPunct/>
        <w:topLinePunct w:val="0"/>
        <w:bidi w:val="0"/>
        <w:snapToGrid/>
        <w:spacing w:before="0" w:after="0" w:line="360" w:lineRule="auto"/>
        <w:jc w:val="center"/>
        <w:textAlignment w:val="auto"/>
        <w:rPr>
          <w:b w:val="0"/>
          <w:bCs/>
          <w:color w:val="auto"/>
        </w:rPr>
      </w:pPr>
      <w:bookmarkStart w:id="492" w:name="_Toc321380941"/>
      <w:bookmarkStart w:id="493" w:name="_Toc1945287857"/>
      <w:bookmarkStart w:id="494" w:name="_Toc2112938282"/>
      <w:bookmarkStart w:id="495" w:name="_Toc266107145"/>
      <w:bookmarkStart w:id="496" w:name="_Toc217828209"/>
      <w:bookmarkStart w:id="497" w:name="_Toc1416303958"/>
      <w:r>
        <w:rPr>
          <w:rFonts w:hint="eastAsia"/>
          <w:b w:val="0"/>
          <w:bCs/>
          <w:color w:val="auto"/>
        </w:rPr>
        <w:t>附则</w:t>
      </w:r>
      <w:bookmarkEnd w:id="492"/>
      <w:bookmarkEnd w:id="493"/>
      <w:bookmarkEnd w:id="494"/>
      <w:bookmarkEnd w:id="495"/>
      <w:bookmarkEnd w:id="496"/>
      <w:bookmarkEnd w:id="497"/>
    </w:p>
    <w:p>
      <w:pPr>
        <w:pageBreakBefore w:val="0"/>
        <w:kinsoku/>
        <w:wordWrap/>
        <w:overflowPunct/>
        <w:topLinePunct w:val="0"/>
        <w:bidi w:val="0"/>
        <w:snapToGrid/>
        <w:spacing w:line="360" w:lineRule="auto"/>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642" w:firstLineChars="200"/>
        <w:textAlignment w:val="auto"/>
        <w:rPr>
          <w:rFonts w:ascii="仿宋_GB2312" w:hAnsi="仿宋_GB2312" w:eastAsia="仿宋_GB2312" w:cs="仿宋_GB2312"/>
          <w:color w:val="auto"/>
          <w:sz w:val="32"/>
          <w:szCs w:val="32"/>
        </w:rPr>
      </w:pPr>
      <w:bookmarkStart w:id="498" w:name="_Toc1875926567"/>
      <w:bookmarkStart w:id="499" w:name="_Toc295010376"/>
      <w:bookmarkStart w:id="500" w:name="_Toc586160256"/>
      <w:bookmarkStart w:id="501" w:name="_Toc100847605"/>
      <w:bookmarkStart w:id="502" w:name="_Toc1271543507"/>
      <w:bookmarkStart w:id="503" w:name="_Toc1167930111"/>
      <w:r>
        <w:rPr>
          <w:rFonts w:hint="eastAsia" w:ascii="仿宋_GB2312" w:hAnsi="仿宋_GB2312" w:eastAsia="仿宋_GB2312" w:cs="仿宋_GB2312"/>
          <w:color w:val="auto"/>
          <w:lang w:eastAsia="zh-CN"/>
        </w:rPr>
        <w:t>第六十九条</w:t>
      </w:r>
      <w:r>
        <w:rPr>
          <w:rFonts w:hint="eastAsia" w:ascii="仿宋_GB2312" w:hAnsi="仿宋_GB2312" w:eastAsia="仿宋_GB2312" w:cs="仿宋_GB2312"/>
          <w:color w:val="auto"/>
        </w:rPr>
        <w:t>【实施时间】</w:t>
      </w:r>
      <w:bookmarkEnd w:id="498"/>
      <w:bookmarkEnd w:id="499"/>
      <w:bookmarkEnd w:id="500"/>
      <w:bookmarkEnd w:id="501"/>
      <w:bookmarkEnd w:id="502"/>
      <w:bookmarkEnd w:id="503"/>
      <w:r>
        <w:rPr>
          <w:rFonts w:hint="eastAsia" w:ascii="仿宋_GB2312" w:hAnsi="仿宋_GB2312" w:eastAsia="仿宋_GB2312" w:cs="仿宋_GB2312"/>
          <w:b w:val="0"/>
          <w:bCs/>
          <w:color w:val="auto"/>
          <w:sz w:val="32"/>
          <w:szCs w:val="32"/>
        </w:rPr>
        <w:t>本条例自   年  月  日起施行。</w:t>
      </w:r>
      <w:bookmarkStart w:id="504" w:name="_GoBack"/>
      <w:bookmarkEnd w:id="504"/>
    </w:p>
    <w:p>
      <w:pPr>
        <w:pageBreakBefore w:val="0"/>
        <w:kinsoku/>
        <w:wordWrap/>
        <w:overflowPunct/>
        <w:topLinePunct w:val="0"/>
        <w:bidi w:val="0"/>
        <w:snapToGrid/>
        <w:spacing w:line="360" w:lineRule="auto"/>
        <w:textAlignment w:val="auto"/>
        <w:rPr>
          <w:rFonts w:ascii="仿宋_GB2312" w:hAnsi="仿宋_GB2312" w:eastAsia="仿宋_GB2312" w:cs="仿宋_GB2312"/>
          <w:b/>
          <w:color w:val="auto"/>
          <w:sz w:val="32"/>
        </w:rPr>
      </w:pPr>
    </w:p>
    <w:p>
      <w:pPr>
        <w:pageBreakBefore w:val="0"/>
        <w:kinsoku/>
        <w:wordWrap/>
        <w:overflowPunct/>
        <w:topLinePunct w:val="0"/>
        <w:bidi w:val="0"/>
        <w:snapToGrid/>
        <w:spacing w:line="360" w:lineRule="auto"/>
        <w:textAlignment w:val="auto"/>
        <w:rPr>
          <w:color w:val="auto"/>
        </w:rPr>
      </w:pPr>
    </w:p>
    <w:sectPr>
      <w:footerReference r:id="rId3"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00000A87" w:usb1="00000000" w:usb2="00000000"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DaHao"/>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aHao"/>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336550"/>
              <wp:effectExtent l="0" t="0" r="0" b="0"/>
              <wp:wrapNone/>
              <wp:docPr id="1" name="文本框 1"/>
              <wp:cNvGraphicFramePr/>
              <a:graphic xmlns:a="http://schemas.openxmlformats.org/drawingml/2006/main">
                <a:graphicData uri="http://schemas.microsoft.com/office/word/2010/wordprocessingShape">
                  <wps:wsp>
                    <wps:cNvSpPr/>
                    <wps:spPr>
                      <a:xfrm>
                        <a:off x="0" y="0"/>
                        <a:ext cx="120472" cy="336475"/>
                      </a:xfrm>
                      <a:prstGeom prst="rect">
                        <a:avLst/>
                      </a:prstGeom>
                      <a:noFill/>
                      <a:ln w="6350" cap="flat" cmpd="sng">
                        <a:noFill/>
                        <a:prstDash val="solid"/>
                        <a:round/>
                      </a:ln>
                      <a:effectLst/>
                    </wps:spPr>
                    <wps:txbx>
                      <w:txbxContent>
                        <w:p>
                          <w:r>
                            <w:fldChar w:fldCharType="begin"/>
                          </w:r>
                          <w:r>
                            <w:instrText xml:space="preserve"> PAGE  \* MERGEFORMAT </w:instrText>
                          </w:r>
                          <w:r>
                            <w:fldChar w:fldCharType="separate"/>
                          </w:r>
                          <w:r>
                            <w:t>16</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26.5pt;width:9.5pt;mso-position-horizontal:center;mso-position-horizontal-relative:margin;mso-wrap-style:none;z-index:251659264;mso-width-relative:page;mso-height-relative:page;" filled="f" stroked="f" coordsize="21600,21600" o:gfxdata="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">
              <v:fill on="f" focussize="0,0"/>
              <v:stroke on="f" weight="0.5pt" joinstyle="round"/>
              <v:imagedata o:title=""/>
              <o:lock v:ext="edit" aspectratio="f"/>
              <v:textbox inset="0mm,0mm,0mm,0mm" style="mso-fit-shape-to-text:t;">
                <w:txbxContent>
                  <w:p>
                    <w:r>
                      <w:fldChar w:fldCharType="begin"/>
                    </w:r>
                    <w:r>
                      <w:instrText xml:space="preserve"> PAGE  \* MERGEFORMAT </w:instrText>
                    </w:r>
                    <w:r>
                      <w:fldChar w:fldCharType="separate"/>
                    </w:r>
                    <w:r>
                      <w:t>16</w:t>
                    </w:r>
                    <w:r>
                      <w:fldChar w:fldCharType="end"/>
                    </w:r>
                  </w:p>
                </w:txbxContent>
              </v:textbox>
            </v:rect>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CB185"/>
    <w:multiLevelType w:val="singleLevel"/>
    <w:tmpl w:val="FBACB185"/>
    <w:lvl w:ilvl="0" w:tentative="0">
      <w:start w:val="1"/>
      <w:numFmt w:val="chineseCounting"/>
      <w:suff w:val="space"/>
      <w:lvlText w:val="第%1章"/>
      <w:lvlJc w:val="left"/>
      <w:rPr>
        <w:rFonts w:hint="eastAsia" w:ascii="黑体" w:hAnsi="黑体" w:eastAsia="黑体" w:cs="黑体"/>
        <w:b w:val="0"/>
        <w:bCs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B2"/>
    <w:rsid w:val="0001131B"/>
    <w:rsid w:val="0001718A"/>
    <w:rsid w:val="00022003"/>
    <w:rsid w:val="00073EED"/>
    <w:rsid w:val="001165D6"/>
    <w:rsid w:val="00116BFB"/>
    <w:rsid w:val="00122147"/>
    <w:rsid w:val="0013773D"/>
    <w:rsid w:val="00147068"/>
    <w:rsid w:val="001714C6"/>
    <w:rsid w:val="00183530"/>
    <w:rsid w:val="001A7554"/>
    <w:rsid w:val="002047D6"/>
    <w:rsid w:val="0022604C"/>
    <w:rsid w:val="002369FD"/>
    <w:rsid w:val="00266C4E"/>
    <w:rsid w:val="002C2C03"/>
    <w:rsid w:val="002D6B9E"/>
    <w:rsid w:val="002E03DF"/>
    <w:rsid w:val="003366BB"/>
    <w:rsid w:val="00340F33"/>
    <w:rsid w:val="00344578"/>
    <w:rsid w:val="0034482B"/>
    <w:rsid w:val="00356BB4"/>
    <w:rsid w:val="00365299"/>
    <w:rsid w:val="00370BB9"/>
    <w:rsid w:val="0038171E"/>
    <w:rsid w:val="003D05DC"/>
    <w:rsid w:val="003E59AA"/>
    <w:rsid w:val="003E5A9A"/>
    <w:rsid w:val="00422122"/>
    <w:rsid w:val="0042258D"/>
    <w:rsid w:val="00432E4C"/>
    <w:rsid w:val="00462BA7"/>
    <w:rsid w:val="00562981"/>
    <w:rsid w:val="00567EFB"/>
    <w:rsid w:val="00586877"/>
    <w:rsid w:val="005D23FF"/>
    <w:rsid w:val="00605DA7"/>
    <w:rsid w:val="006D0EF8"/>
    <w:rsid w:val="006E0453"/>
    <w:rsid w:val="0074173C"/>
    <w:rsid w:val="00762849"/>
    <w:rsid w:val="00793C52"/>
    <w:rsid w:val="00796E4F"/>
    <w:rsid w:val="00797A15"/>
    <w:rsid w:val="007C48B7"/>
    <w:rsid w:val="007D5F74"/>
    <w:rsid w:val="00843C24"/>
    <w:rsid w:val="00863CD6"/>
    <w:rsid w:val="0087790B"/>
    <w:rsid w:val="00886E14"/>
    <w:rsid w:val="008873DE"/>
    <w:rsid w:val="00910FD3"/>
    <w:rsid w:val="00917444"/>
    <w:rsid w:val="00964F3C"/>
    <w:rsid w:val="00980C18"/>
    <w:rsid w:val="0098533D"/>
    <w:rsid w:val="009A0CD8"/>
    <w:rsid w:val="009A3A59"/>
    <w:rsid w:val="009C164B"/>
    <w:rsid w:val="009C45CC"/>
    <w:rsid w:val="009D23F8"/>
    <w:rsid w:val="00A311F5"/>
    <w:rsid w:val="00A77E71"/>
    <w:rsid w:val="00AE0217"/>
    <w:rsid w:val="00B01A39"/>
    <w:rsid w:val="00B54077"/>
    <w:rsid w:val="00B604C0"/>
    <w:rsid w:val="00B727BE"/>
    <w:rsid w:val="00B75EE7"/>
    <w:rsid w:val="00BC7376"/>
    <w:rsid w:val="00C42800"/>
    <w:rsid w:val="00C4324D"/>
    <w:rsid w:val="00C70084"/>
    <w:rsid w:val="00CA765F"/>
    <w:rsid w:val="00CC7289"/>
    <w:rsid w:val="00CF7690"/>
    <w:rsid w:val="00D26AAF"/>
    <w:rsid w:val="00D35E1F"/>
    <w:rsid w:val="00DB044F"/>
    <w:rsid w:val="00E54A38"/>
    <w:rsid w:val="00E54F70"/>
    <w:rsid w:val="00E7683E"/>
    <w:rsid w:val="00E858B7"/>
    <w:rsid w:val="00ED1CA2"/>
    <w:rsid w:val="00ED4C6B"/>
    <w:rsid w:val="00F066BC"/>
    <w:rsid w:val="00F65504"/>
    <w:rsid w:val="00FE464B"/>
    <w:rsid w:val="01602EAB"/>
    <w:rsid w:val="01C56903"/>
    <w:rsid w:val="01CB7010"/>
    <w:rsid w:val="02473648"/>
    <w:rsid w:val="02741627"/>
    <w:rsid w:val="02DD6241"/>
    <w:rsid w:val="036C58F1"/>
    <w:rsid w:val="038C575E"/>
    <w:rsid w:val="03B01DC6"/>
    <w:rsid w:val="03BE1E2C"/>
    <w:rsid w:val="03DE028C"/>
    <w:rsid w:val="03E43571"/>
    <w:rsid w:val="03E65BA2"/>
    <w:rsid w:val="03E84447"/>
    <w:rsid w:val="041E64E8"/>
    <w:rsid w:val="049A1D2A"/>
    <w:rsid w:val="054833D7"/>
    <w:rsid w:val="054C4F28"/>
    <w:rsid w:val="05690760"/>
    <w:rsid w:val="058E25DF"/>
    <w:rsid w:val="05C03FCA"/>
    <w:rsid w:val="05C20583"/>
    <w:rsid w:val="05C55124"/>
    <w:rsid w:val="05E03B3B"/>
    <w:rsid w:val="06374717"/>
    <w:rsid w:val="064A7911"/>
    <w:rsid w:val="065564E1"/>
    <w:rsid w:val="06B85629"/>
    <w:rsid w:val="06E817E5"/>
    <w:rsid w:val="07C27731"/>
    <w:rsid w:val="07D53466"/>
    <w:rsid w:val="08051A37"/>
    <w:rsid w:val="082038E6"/>
    <w:rsid w:val="0866446A"/>
    <w:rsid w:val="08893B94"/>
    <w:rsid w:val="08AE6343"/>
    <w:rsid w:val="08B814DA"/>
    <w:rsid w:val="08D2254A"/>
    <w:rsid w:val="08E51639"/>
    <w:rsid w:val="08EC29C7"/>
    <w:rsid w:val="092A5B87"/>
    <w:rsid w:val="092B34F0"/>
    <w:rsid w:val="098C7F03"/>
    <w:rsid w:val="098D1929"/>
    <w:rsid w:val="09904291"/>
    <w:rsid w:val="099955DF"/>
    <w:rsid w:val="0A172A13"/>
    <w:rsid w:val="0A3D5E32"/>
    <w:rsid w:val="0A79028B"/>
    <w:rsid w:val="0AAB7716"/>
    <w:rsid w:val="0AFB6FF6"/>
    <w:rsid w:val="0B393F8E"/>
    <w:rsid w:val="0BB43441"/>
    <w:rsid w:val="0BE24B2A"/>
    <w:rsid w:val="0C3D20A1"/>
    <w:rsid w:val="0C4A2225"/>
    <w:rsid w:val="0C7117C6"/>
    <w:rsid w:val="0CC8171E"/>
    <w:rsid w:val="0CCD4A3B"/>
    <w:rsid w:val="0D074FED"/>
    <w:rsid w:val="0D29128D"/>
    <w:rsid w:val="0D3E25A9"/>
    <w:rsid w:val="0D851DB2"/>
    <w:rsid w:val="0DE829A2"/>
    <w:rsid w:val="0DF43012"/>
    <w:rsid w:val="0E8443FA"/>
    <w:rsid w:val="0EBD25B4"/>
    <w:rsid w:val="0EE4486D"/>
    <w:rsid w:val="0EF0290F"/>
    <w:rsid w:val="0EFF29DE"/>
    <w:rsid w:val="0F360E40"/>
    <w:rsid w:val="0F497356"/>
    <w:rsid w:val="0FB98977"/>
    <w:rsid w:val="1010343F"/>
    <w:rsid w:val="10142A71"/>
    <w:rsid w:val="10254F0A"/>
    <w:rsid w:val="10621556"/>
    <w:rsid w:val="10A50CDB"/>
    <w:rsid w:val="10B14F48"/>
    <w:rsid w:val="10D25671"/>
    <w:rsid w:val="10DD1863"/>
    <w:rsid w:val="10EE1995"/>
    <w:rsid w:val="1104136C"/>
    <w:rsid w:val="11370B41"/>
    <w:rsid w:val="11474599"/>
    <w:rsid w:val="114B29DF"/>
    <w:rsid w:val="114F6F76"/>
    <w:rsid w:val="115D57ED"/>
    <w:rsid w:val="1199286D"/>
    <w:rsid w:val="11DF30C9"/>
    <w:rsid w:val="11EC3A7B"/>
    <w:rsid w:val="12125501"/>
    <w:rsid w:val="121D17BA"/>
    <w:rsid w:val="128E2E52"/>
    <w:rsid w:val="12AA2C4A"/>
    <w:rsid w:val="12AD10B0"/>
    <w:rsid w:val="12C30C0A"/>
    <w:rsid w:val="12CD2EAF"/>
    <w:rsid w:val="12EE10CD"/>
    <w:rsid w:val="13164EAA"/>
    <w:rsid w:val="13173F01"/>
    <w:rsid w:val="132E255A"/>
    <w:rsid w:val="13553E48"/>
    <w:rsid w:val="13680A9C"/>
    <w:rsid w:val="136D06C3"/>
    <w:rsid w:val="13C34A5C"/>
    <w:rsid w:val="13FB8FB5"/>
    <w:rsid w:val="13FD8D2D"/>
    <w:rsid w:val="140D7D73"/>
    <w:rsid w:val="141379A2"/>
    <w:rsid w:val="14284AA7"/>
    <w:rsid w:val="143330A3"/>
    <w:rsid w:val="14BC3B96"/>
    <w:rsid w:val="15143487"/>
    <w:rsid w:val="15225FA3"/>
    <w:rsid w:val="1535710B"/>
    <w:rsid w:val="158C5316"/>
    <w:rsid w:val="15B87DAF"/>
    <w:rsid w:val="15BF1376"/>
    <w:rsid w:val="15D44EF4"/>
    <w:rsid w:val="160D2D3C"/>
    <w:rsid w:val="162B5D68"/>
    <w:rsid w:val="163C4F8E"/>
    <w:rsid w:val="16E3305F"/>
    <w:rsid w:val="17640185"/>
    <w:rsid w:val="176432ED"/>
    <w:rsid w:val="17875FF8"/>
    <w:rsid w:val="17AE51B4"/>
    <w:rsid w:val="17BE4C6F"/>
    <w:rsid w:val="17C10162"/>
    <w:rsid w:val="17C31108"/>
    <w:rsid w:val="17E8444C"/>
    <w:rsid w:val="17F8518A"/>
    <w:rsid w:val="18050833"/>
    <w:rsid w:val="184F3995"/>
    <w:rsid w:val="18A949E7"/>
    <w:rsid w:val="194E7E5B"/>
    <w:rsid w:val="19572D76"/>
    <w:rsid w:val="195C5947"/>
    <w:rsid w:val="195D549D"/>
    <w:rsid w:val="195E692B"/>
    <w:rsid w:val="19666ACC"/>
    <w:rsid w:val="19902E8B"/>
    <w:rsid w:val="19D74001"/>
    <w:rsid w:val="1A251FE3"/>
    <w:rsid w:val="1A8E6CF2"/>
    <w:rsid w:val="1ABB4669"/>
    <w:rsid w:val="1ABF528B"/>
    <w:rsid w:val="1C3B6480"/>
    <w:rsid w:val="1CBA632D"/>
    <w:rsid w:val="1CE6495A"/>
    <w:rsid w:val="1D3C1D18"/>
    <w:rsid w:val="1D567998"/>
    <w:rsid w:val="1DA21EAE"/>
    <w:rsid w:val="1DFB3450"/>
    <w:rsid w:val="1DFBE821"/>
    <w:rsid w:val="1E165D55"/>
    <w:rsid w:val="1E3155B5"/>
    <w:rsid w:val="1E32013B"/>
    <w:rsid w:val="1E78368A"/>
    <w:rsid w:val="1E816029"/>
    <w:rsid w:val="1E9E000F"/>
    <w:rsid w:val="1ED425AC"/>
    <w:rsid w:val="1EDE0F82"/>
    <w:rsid w:val="1F105BB3"/>
    <w:rsid w:val="1F5E021B"/>
    <w:rsid w:val="1FB14406"/>
    <w:rsid w:val="1FBB574B"/>
    <w:rsid w:val="1FBF0B48"/>
    <w:rsid w:val="1FE0F319"/>
    <w:rsid w:val="1FFF49CE"/>
    <w:rsid w:val="20214362"/>
    <w:rsid w:val="20AC3DE5"/>
    <w:rsid w:val="20DA2975"/>
    <w:rsid w:val="20DD5AF8"/>
    <w:rsid w:val="20F627FB"/>
    <w:rsid w:val="2137706C"/>
    <w:rsid w:val="21B9202A"/>
    <w:rsid w:val="21D4251F"/>
    <w:rsid w:val="21DB54C8"/>
    <w:rsid w:val="21DE25E9"/>
    <w:rsid w:val="220B2CE7"/>
    <w:rsid w:val="227E23A5"/>
    <w:rsid w:val="22AA7129"/>
    <w:rsid w:val="22FE4371"/>
    <w:rsid w:val="23B567AE"/>
    <w:rsid w:val="23CC2CE3"/>
    <w:rsid w:val="23DB2F62"/>
    <w:rsid w:val="23F618EE"/>
    <w:rsid w:val="242A0C90"/>
    <w:rsid w:val="2453247D"/>
    <w:rsid w:val="245A3AC1"/>
    <w:rsid w:val="24794708"/>
    <w:rsid w:val="24DE2EFA"/>
    <w:rsid w:val="25563097"/>
    <w:rsid w:val="257F0C54"/>
    <w:rsid w:val="258677FF"/>
    <w:rsid w:val="25952516"/>
    <w:rsid w:val="259E5AE1"/>
    <w:rsid w:val="25DF5936"/>
    <w:rsid w:val="25E5683B"/>
    <w:rsid w:val="263F6358"/>
    <w:rsid w:val="26635EA8"/>
    <w:rsid w:val="267D7CB3"/>
    <w:rsid w:val="267E17F7"/>
    <w:rsid w:val="27194CE5"/>
    <w:rsid w:val="278422F1"/>
    <w:rsid w:val="27DE2584"/>
    <w:rsid w:val="27FE233C"/>
    <w:rsid w:val="27FF3C86"/>
    <w:rsid w:val="28387DDC"/>
    <w:rsid w:val="284B1965"/>
    <w:rsid w:val="286D0FD7"/>
    <w:rsid w:val="288F0997"/>
    <w:rsid w:val="2921418C"/>
    <w:rsid w:val="293D4E4D"/>
    <w:rsid w:val="2A005376"/>
    <w:rsid w:val="2A1A518F"/>
    <w:rsid w:val="2A770838"/>
    <w:rsid w:val="2A770936"/>
    <w:rsid w:val="2AA8488A"/>
    <w:rsid w:val="2AD17185"/>
    <w:rsid w:val="2B071B59"/>
    <w:rsid w:val="2B4C0426"/>
    <w:rsid w:val="2B7C00E6"/>
    <w:rsid w:val="2BA6428E"/>
    <w:rsid w:val="2C25375B"/>
    <w:rsid w:val="2C322253"/>
    <w:rsid w:val="2C5555F9"/>
    <w:rsid w:val="2C7B0A57"/>
    <w:rsid w:val="2CBC252D"/>
    <w:rsid w:val="2CCD678E"/>
    <w:rsid w:val="2CE332E3"/>
    <w:rsid w:val="2CF176CE"/>
    <w:rsid w:val="2D0E4090"/>
    <w:rsid w:val="2D343EA0"/>
    <w:rsid w:val="2D597E96"/>
    <w:rsid w:val="2D731A09"/>
    <w:rsid w:val="2D7479D0"/>
    <w:rsid w:val="2DA1586C"/>
    <w:rsid w:val="2DAC1131"/>
    <w:rsid w:val="2DF11647"/>
    <w:rsid w:val="2DF20175"/>
    <w:rsid w:val="2E673513"/>
    <w:rsid w:val="2EBD46DA"/>
    <w:rsid w:val="2EF1CDF2"/>
    <w:rsid w:val="2EFDA0A8"/>
    <w:rsid w:val="2F332780"/>
    <w:rsid w:val="2F4552CD"/>
    <w:rsid w:val="2F9BF56F"/>
    <w:rsid w:val="2F9C3352"/>
    <w:rsid w:val="2F9F6E66"/>
    <w:rsid w:val="2FD47B8E"/>
    <w:rsid w:val="2FFB513F"/>
    <w:rsid w:val="30884CB9"/>
    <w:rsid w:val="30F00A07"/>
    <w:rsid w:val="30F60495"/>
    <w:rsid w:val="3152520E"/>
    <w:rsid w:val="31BB1552"/>
    <w:rsid w:val="31FE0DAC"/>
    <w:rsid w:val="32087FC3"/>
    <w:rsid w:val="32627778"/>
    <w:rsid w:val="328175E9"/>
    <w:rsid w:val="329D255D"/>
    <w:rsid w:val="32A3404A"/>
    <w:rsid w:val="32F9052C"/>
    <w:rsid w:val="32FD49B4"/>
    <w:rsid w:val="331C7060"/>
    <w:rsid w:val="332E2F85"/>
    <w:rsid w:val="33460DA3"/>
    <w:rsid w:val="33A146B4"/>
    <w:rsid w:val="33A53D1B"/>
    <w:rsid w:val="33C063FA"/>
    <w:rsid w:val="33DF6305"/>
    <w:rsid w:val="33E00D4C"/>
    <w:rsid w:val="33EB11AA"/>
    <w:rsid w:val="340229ED"/>
    <w:rsid w:val="340E1ED8"/>
    <w:rsid w:val="347F4E85"/>
    <w:rsid w:val="3494194B"/>
    <w:rsid w:val="34A80273"/>
    <w:rsid w:val="34DD524A"/>
    <w:rsid w:val="34E15227"/>
    <w:rsid w:val="34EA10A2"/>
    <w:rsid w:val="34F76A97"/>
    <w:rsid w:val="352C329C"/>
    <w:rsid w:val="35D64B29"/>
    <w:rsid w:val="36554EDA"/>
    <w:rsid w:val="36B528E5"/>
    <w:rsid w:val="36BE795E"/>
    <w:rsid w:val="36E2076E"/>
    <w:rsid w:val="36E72988"/>
    <w:rsid w:val="36EB0DEA"/>
    <w:rsid w:val="372B65B3"/>
    <w:rsid w:val="37791411"/>
    <w:rsid w:val="37917699"/>
    <w:rsid w:val="379BEA5D"/>
    <w:rsid w:val="37A52571"/>
    <w:rsid w:val="37D31A24"/>
    <w:rsid w:val="37DD7E02"/>
    <w:rsid w:val="37F54957"/>
    <w:rsid w:val="37FDB12B"/>
    <w:rsid w:val="37FE87E2"/>
    <w:rsid w:val="380C3D94"/>
    <w:rsid w:val="381D531B"/>
    <w:rsid w:val="386B696F"/>
    <w:rsid w:val="386C70B8"/>
    <w:rsid w:val="38E350E4"/>
    <w:rsid w:val="38EA1790"/>
    <w:rsid w:val="38FE3710"/>
    <w:rsid w:val="390651DC"/>
    <w:rsid w:val="39386D6D"/>
    <w:rsid w:val="393D1448"/>
    <w:rsid w:val="39462CB6"/>
    <w:rsid w:val="398F7C10"/>
    <w:rsid w:val="399F4AA3"/>
    <w:rsid w:val="39DF0842"/>
    <w:rsid w:val="39ED4D14"/>
    <w:rsid w:val="39FF4852"/>
    <w:rsid w:val="3A03179B"/>
    <w:rsid w:val="3A324A06"/>
    <w:rsid w:val="3A440ADE"/>
    <w:rsid w:val="3A5139DE"/>
    <w:rsid w:val="3A7876F9"/>
    <w:rsid w:val="3A974896"/>
    <w:rsid w:val="3AA12A00"/>
    <w:rsid w:val="3AC857EA"/>
    <w:rsid w:val="3AE103DA"/>
    <w:rsid w:val="3B003F2D"/>
    <w:rsid w:val="3B0C65F0"/>
    <w:rsid w:val="3B5E66F2"/>
    <w:rsid w:val="3B661580"/>
    <w:rsid w:val="3B7F19E3"/>
    <w:rsid w:val="3B8E3D3B"/>
    <w:rsid w:val="3BC83BA3"/>
    <w:rsid w:val="3BFF09EC"/>
    <w:rsid w:val="3C56250D"/>
    <w:rsid w:val="3C607371"/>
    <w:rsid w:val="3C6E0157"/>
    <w:rsid w:val="3CE70ABB"/>
    <w:rsid w:val="3D2462CF"/>
    <w:rsid w:val="3DE7181B"/>
    <w:rsid w:val="3DEF716B"/>
    <w:rsid w:val="3DF00289"/>
    <w:rsid w:val="3E320799"/>
    <w:rsid w:val="3E551F90"/>
    <w:rsid w:val="3E5A3606"/>
    <w:rsid w:val="3E9D28CB"/>
    <w:rsid w:val="3EAF5A95"/>
    <w:rsid w:val="3EBB94BA"/>
    <w:rsid w:val="3ECB2E44"/>
    <w:rsid w:val="3EDD0C32"/>
    <w:rsid w:val="3EF45B57"/>
    <w:rsid w:val="3EF52AAD"/>
    <w:rsid w:val="3EFB5940"/>
    <w:rsid w:val="3F05474B"/>
    <w:rsid w:val="3F112386"/>
    <w:rsid w:val="3F122507"/>
    <w:rsid w:val="3F134B07"/>
    <w:rsid w:val="3F197792"/>
    <w:rsid w:val="3F1E169C"/>
    <w:rsid w:val="3F240F03"/>
    <w:rsid w:val="3F6535A7"/>
    <w:rsid w:val="3F926664"/>
    <w:rsid w:val="3F9F9217"/>
    <w:rsid w:val="3FCF35E7"/>
    <w:rsid w:val="3FD11FAF"/>
    <w:rsid w:val="402129CE"/>
    <w:rsid w:val="406861BB"/>
    <w:rsid w:val="40747DF6"/>
    <w:rsid w:val="407A0E6B"/>
    <w:rsid w:val="408C4B10"/>
    <w:rsid w:val="409273D5"/>
    <w:rsid w:val="40F77437"/>
    <w:rsid w:val="41B4647D"/>
    <w:rsid w:val="41D9213F"/>
    <w:rsid w:val="41FE1AD4"/>
    <w:rsid w:val="420C0FB8"/>
    <w:rsid w:val="424A5E06"/>
    <w:rsid w:val="425071F1"/>
    <w:rsid w:val="42664FBD"/>
    <w:rsid w:val="42726C3A"/>
    <w:rsid w:val="4278294E"/>
    <w:rsid w:val="429215AF"/>
    <w:rsid w:val="42FD7E36"/>
    <w:rsid w:val="432B6CC3"/>
    <w:rsid w:val="435C54A2"/>
    <w:rsid w:val="435D2BD7"/>
    <w:rsid w:val="43604D7E"/>
    <w:rsid w:val="43697CE0"/>
    <w:rsid w:val="43942E5F"/>
    <w:rsid w:val="43B4271C"/>
    <w:rsid w:val="43B62EE3"/>
    <w:rsid w:val="43B808F8"/>
    <w:rsid w:val="43C27C08"/>
    <w:rsid w:val="44496945"/>
    <w:rsid w:val="4457512C"/>
    <w:rsid w:val="448871BF"/>
    <w:rsid w:val="44890EAD"/>
    <w:rsid w:val="44BD3991"/>
    <w:rsid w:val="44C640B0"/>
    <w:rsid w:val="45356565"/>
    <w:rsid w:val="458E0080"/>
    <w:rsid w:val="45B276D1"/>
    <w:rsid w:val="45C9535A"/>
    <w:rsid w:val="46244F73"/>
    <w:rsid w:val="4644085C"/>
    <w:rsid w:val="465D2233"/>
    <w:rsid w:val="46690BD8"/>
    <w:rsid w:val="46853898"/>
    <w:rsid w:val="46F94496"/>
    <w:rsid w:val="47185E66"/>
    <w:rsid w:val="475064BF"/>
    <w:rsid w:val="47512325"/>
    <w:rsid w:val="4796076C"/>
    <w:rsid w:val="47D27A55"/>
    <w:rsid w:val="487D4701"/>
    <w:rsid w:val="48A20544"/>
    <w:rsid w:val="493C6A78"/>
    <w:rsid w:val="49406F22"/>
    <w:rsid w:val="496C7ED8"/>
    <w:rsid w:val="496F7BBD"/>
    <w:rsid w:val="49721F17"/>
    <w:rsid w:val="49BA52D4"/>
    <w:rsid w:val="49E31D69"/>
    <w:rsid w:val="49F36575"/>
    <w:rsid w:val="49FF508B"/>
    <w:rsid w:val="4A031344"/>
    <w:rsid w:val="4A0A3F67"/>
    <w:rsid w:val="4A182544"/>
    <w:rsid w:val="4A205A52"/>
    <w:rsid w:val="4A4009D1"/>
    <w:rsid w:val="4A6F2C19"/>
    <w:rsid w:val="4A7D2EA4"/>
    <w:rsid w:val="4A8420B3"/>
    <w:rsid w:val="4AEA7FAD"/>
    <w:rsid w:val="4B1F21AD"/>
    <w:rsid w:val="4B643F9B"/>
    <w:rsid w:val="4B77182A"/>
    <w:rsid w:val="4BCC5D64"/>
    <w:rsid w:val="4BD91733"/>
    <w:rsid w:val="4BDE5B40"/>
    <w:rsid w:val="4C576E18"/>
    <w:rsid w:val="4CD0576B"/>
    <w:rsid w:val="4CD06ED6"/>
    <w:rsid w:val="4D2B6E28"/>
    <w:rsid w:val="4D3F0DD0"/>
    <w:rsid w:val="4D495436"/>
    <w:rsid w:val="4D60755F"/>
    <w:rsid w:val="4D667004"/>
    <w:rsid w:val="4D77949D"/>
    <w:rsid w:val="4D7F5185"/>
    <w:rsid w:val="4DA87A77"/>
    <w:rsid w:val="4DB210B7"/>
    <w:rsid w:val="4DCF7936"/>
    <w:rsid w:val="4DE72335"/>
    <w:rsid w:val="4E597982"/>
    <w:rsid w:val="4E6075AA"/>
    <w:rsid w:val="4E703C3C"/>
    <w:rsid w:val="4E7F0C14"/>
    <w:rsid w:val="4E861663"/>
    <w:rsid w:val="4EA07161"/>
    <w:rsid w:val="4EB87EBA"/>
    <w:rsid w:val="4EBE2ACF"/>
    <w:rsid w:val="4EC77ECE"/>
    <w:rsid w:val="4EC840CD"/>
    <w:rsid w:val="4EE80403"/>
    <w:rsid w:val="4EF33537"/>
    <w:rsid w:val="4F133DD7"/>
    <w:rsid w:val="4F3936E3"/>
    <w:rsid w:val="4F7A7972"/>
    <w:rsid w:val="4F8971FE"/>
    <w:rsid w:val="4F9A1DAF"/>
    <w:rsid w:val="4FDEFBFF"/>
    <w:rsid w:val="4FF637DE"/>
    <w:rsid w:val="4FF79246"/>
    <w:rsid w:val="500D0362"/>
    <w:rsid w:val="50124AB3"/>
    <w:rsid w:val="50373AF5"/>
    <w:rsid w:val="504B305A"/>
    <w:rsid w:val="509A2D48"/>
    <w:rsid w:val="50A849F3"/>
    <w:rsid w:val="50DE35EC"/>
    <w:rsid w:val="5116075F"/>
    <w:rsid w:val="512259C2"/>
    <w:rsid w:val="517B64FE"/>
    <w:rsid w:val="51C91355"/>
    <w:rsid w:val="51D303D8"/>
    <w:rsid w:val="52173BDE"/>
    <w:rsid w:val="52257019"/>
    <w:rsid w:val="524D0715"/>
    <w:rsid w:val="525A0471"/>
    <w:rsid w:val="52A10FBD"/>
    <w:rsid w:val="52BFCE70"/>
    <w:rsid w:val="52C206D3"/>
    <w:rsid w:val="52EF196A"/>
    <w:rsid w:val="52EF4B5B"/>
    <w:rsid w:val="52FA40B1"/>
    <w:rsid w:val="532B6A80"/>
    <w:rsid w:val="533B521F"/>
    <w:rsid w:val="53404EC2"/>
    <w:rsid w:val="5351758E"/>
    <w:rsid w:val="53820F69"/>
    <w:rsid w:val="53A60C1E"/>
    <w:rsid w:val="53BF778D"/>
    <w:rsid w:val="54140DD0"/>
    <w:rsid w:val="54AB4379"/>
    <w:rsid w:val="54B6568B"/>
    <w:rsid w:val="54B80B8E"/>
    <w:rsid w:val="54B971CF"/>
    <w:rsid w:val="54BF0B2A"/>
    <w:rsid w:val="54E029FD"/>
    <w:rsid w:val="54FF64DB"/>
    <w:rsid w:val="55164013"/>
    <w:rsid w:val="553915A0"/>
    <w:rsid w:val="554B5B7F"/>
    <w:rsid w:val="55630EE8"/>
    <w:rsid w:val="55815EC5"/>
    <w:rsid w:val="55C30E9C"/>
    <w:rsid w:val="55D81ABD"/>
    <w:rsid w:val="55F93719"/>
    <w:rsid w:val="56052E62"/>
    <w:rsid w:val="567E77D8"/>
    <w:rsid w:val="569A32A2"/>
    <w:rsid w:val="57FAF074"/>
    <w:rsid w:val="57FF53A4"/>
    <w:rsid w:val="58830CEA"/>
    <w:rsid w:val="58B303D9"/>
    <w:rsid w:val="58C6432E"/>
    <w:rsid w:val="58EC3B19"/>
    <w:rsid w:val="59284923"/>
    <w:rsid w:val="59291CF8"/>
    <w:rsid w:val="593439E9"/>
    <w:rsid w:val="59875AED"/>
    <w:rsid w:val="599825F2"/>
    <w:rsid w:val="599C6BBC"/>
    <w:rsid w:val="59AFD9A2"/>
    <w:rsid w:val="59C94B75"/>
    <w:rsid w:val="5A3B2BDE"/>
    <w:rsid w:val="5A517B3B"/>
    <w:rsid w:val="5AAC11F7"/>
    <w:rsid w:val="5AB10D16"/>
    <w:rsid w:val="5AC05704"/>
    <w:rsid w:val="5ADC0752"/>
    <w:rsid w:val="5AF5156C"/>
    <w:rsid w:val="5AFA409D"/>
    <w:rsid w:val="5B6A2E64"/>
    <w:rsid w:val="5BA87F9D"/>
    <w:rsid w:val="5BBF1487"/>
    <w:rsid w:val="5BED3C02"/>
    <w:rsid w:val="5BFD2E8D"/>
    <w:rsid w:val="5C063701"/>
    <w:rsid w:val="5C217D49"/>
    <w:rsid w:val="5C6511D0"/>
    <w:rsid w:val="5D531B36"/>
    <w:rsid w:val="5DB518C4"/>
    <w:rsid w:val="5DEC4F7A"/>
    <w:rsid w:val="5E1B21BB"/>
    <w:rsid w:val="5E341E95"/>
    <w:rsid w:val="5EF41B8A"/>
    <w:rsid w:val="5F1B0D98"/>
    <w:rsid w:val="5F3F2252"/>
    <w:rsid w:val="5F592DFB"/>
    <w:rsid w:val="5F6EF1D6"/>
    <w:rsid w:val="5F97537C"/>
    <w:rsid w:val="5FBF9C65"/>
    <w:rsid w:val="5FD57BC2"/>
    <w:rsid w:val="5FFF4523"/>
    <w:rsid w:val="60004A4F"/>
    <w:rsid w:val="60192588"/>
    <w:rsid w:val="602120CC"/>
    <w:rsid w:val="608B344E"/>
    <w:rsid w:val="60A61B01"/>
    <w:rsid w:val="60F66071"/>
    <w:rsid w:val="615035D1"/>
    <w:rsid w:val="61891CD7"/>
    <w:rsid w:val="61BA7EE8"/>
    <w:rsid w:val="61D54F1C"/>
    <w:rsid w:val="62123462"/>
    <w:rsid w:val="622824BB"/>
    <w:rsid w:val="62582E89"/>
    <w:rsid w:val="629B7318"/>
    <w:rsid w:val="63374A8A"/>
    <w:rsid w:val="636649C5"/>
    <w:rsid w:val="636F54AF"/>
    <w:rsid w:val="638303A8"/>
    <w:rsid w:val="63AF4064"/>
    <w:rsid w:val="63CE5A42"/>
    <w:rsid w:val="63E1404C"/>
    <w:rsid w:val="63E145EA"/>
    <w:rsid w:val="63F37B9D"/>
    <w:rsid w:val="63F5036D"/>
    <w:rsid w:val="640337A4"/>
    <w:rsid w:val="642F1C4D"/>
    <w:rsid w:val="643D1829"/>
    <w:rsid w:val="64CC0AE3"/>
    <w:rsid w:val="658D7A28"/>
    <w:rsid w:val="65930D0A"/>
    <w:rsid w:val="660F2580"/>
    <w:rsid w:val="6617503D"/>
    <w:rsid w:val="66291A75"/>
    <w:rsid w:val="663911C6"/>
    <w:rsid w:val="663A241F"/>
    <w:rsid w:val="664A7DD7"/>
    <w:rsid w:val="665D65E6"/>
    <w:rsid w:val="666C7096"/>
    <w:rsid w:val="66B3A92F"/>
    <w:rsid w:val="66C139FD"/>
    <w:rsid w:val="670C0772"/>
    <w:rsid w:val="670E1B9A"/>
    <w:rsid w:val="673E3563"/>
    <w:rsid w:val="676B1934"/>
    <w:rsid w:val="67A7139C"/>
    <w:rsid w:val="67E1286C"/>
    <w:rsid w:val="68255E58"/>
    <w:rsid w:val="68743561"/>
    <w:rsid w:val="689F6284"/>
    <w:rsid w:val="68C22BD8"/>
    <w:rsid w:val="68E017BA"/>
    <w:rsid w:val="697370FD"/>
    <w:rsid w:val="697C5A9F"/>
    <w:rsid w:val="69CA397C"/>
    <w:rsid w:val="69D05529"/>
    <w:rsid w:val="6A5949AC"/>
    <w:rsid w:val="6A7A6C9B"/>
    <w:rsid w:val="6AB706DE"/>
    <w:rsid w:val="6AD874A8"/>
    <w:rsid w:val="6B252A70"/>
    <w:rsid w:val="6B5FE6B0"/>
    <w:rsid w:val="6B7F75F4"/>
    <w:rsid w:val="6BA570F6"/>
    <w:rsid w:val="6BAB5CDB"/>
    <w:rsid w:val="6BADB691"/>
    <w:rsid w:val="6BCE9F4C"/>
    <w:rsid w:val="6BD12BF8"/>
    <w:rsid w:val="6BE4390F"/>
    <w:rsid w:val="6BFF601B"/>
    <w:rsid w:val="6C17488F"/>
    <w:rsid w:val="6C214EEB"/>
    <w:rsid w:val="6C5A784B"/>
    <w:rsid w:val="6C991968"/>
    <w:rsid w:val="6CB03334"/>
    <w:rsid w:val="6CFA56EB"/>
    <w:rsid w:val="6D0112BB"/>
    <w:rsid w:val="6D064833"/>
    <w:rsid w:val="6D3632BC"/>
    <w:rsid w:val="6D413DAD"/>
    <w:rsid w:val="6D6932DB"/>
    <w:rsid w:val="6D847A83"/>
    <w:rsid w:val="6D8D0C70"/>
    <w:rsid w:val="6DC47ECF"/>
    <w:rsid w:val="6DD6278C"/>
    <w:rsid w:val="6DFE15AF"/>
    <w:rsid w:val="6DFF9FF5"/>
    <w:rsid w:val="6E600263"/>
    <w:rsid w:val="6E7657E9"/>
    <w:rsid w:val="6E7A5B9C"/>
    <w:rsid w:val="6EA05211"/>
    <w:rsid w:val="6ED60370"/>
    <w:rsid w:val="6ED91ED1"/>
    <w:rsid w:val="6F072179"/>
    <w:rsid w:val="6F3B5CE4"/>
    <w:rsid w:val="6F3DB997"/>
    <w:rsid w:val="6F68072E"/>
    <w:rsid w:val="6F7B749B"/>
    <w:rsid w:val="6F7F660B"/>
    <w:rsid w:val="6F9FEBD2"/>
    <w:rsid w:val="6FAF307C"/>
    <w:rsid w:val="6FBEF766"/>
    <w:rsid w:val="6FBFA071"/>
    <w:rsid w:val="6FE1CEF4"/>
    <w:rsid w:val="6FEF6890"/>
    <w:rsid w:val="6FF74A7B"/>
    <w:rsid w:val="700111D1"/>
    <w:rsid w:val="70313C65"/>
    <w:rsid w:val="704A4AC6"/>
    <w:rsid w:val="705234B1"/>
    <w:rsid w:val="70D217FB"/>
    <w:rsid w:val="712D37CE"/>
    <w:rsid w:val="71530935"/>
    <w:rsid w:val="71B82B42"/>
    <w:rsid w:val="71BC3A02"/>
    <w:rsid w:val="71C456D6"/>
    <w:rsid w:val="71D945B4"/>
    <w:rsid w:val="71FF086B"/>
    <w:rsid w:val="72660C5F"/>
    <w:rsid w:val="726A053A"/>
    <w:rsid w:val="7271087F"/>
    <w:rsid w:val="72847456"/>
    <w:rsid w:val="73166E9F"/>
    <w:rsid w:val="731F2B02"/>
    <w:rsid w:val="73B52C69"/>
    <w:rsid w:val="73EFEA89"/>
    <w:rsid w:val="73FFF6CB"/>
    <w:rsid w:val="740B1B5D"/>
    <w:rsid w:val="743D0241"/>
    <w:rsid w:val="745B5755"/>
    <w:rsid w:val="746F5D1B"/>
    <w:rsid w:val="74784BA3"/>
    <w:rsid w:val="74896B26"/>
    <w:rsid w:val="74E22D4B"/>
    <w:rsid w:val="74FA7898"/>
    <w:rsid w:val="75030E61"/>
    <w:rsid w:val="751E7EE5"/>
    <w:rsid w:val="75220020"/>
    <w:rsid w:val="752217B8"/>
    <w:rsid w:val="755BBB11"/>
    <w:rsid w:val="755E7084"/>
    <w:rsid w:val="75824101"/>
    <w:rsid w:val="75896940"/>
    <w:rsid w:val="758D7ACA"/>
    <w:rsid w:val="75F54AEB"/>
    <w:rsid w:val="76061626"/>
    <w:rsid w:val="76214A0A"/>
    <w:rsid w:val="764B632B"/>
    <w:rsid w:val="76841AFC"/>
    <w:rsid w:val="76865947"/>
    <w:rsid w:val="768C460E"/>
    <w:rsid w:val="76951223"/>
    <w:rsid w:val="76AA5DBC"/>
    <w:rsid w:val="76BED548"/>
    <w:rsid w:val="76C25E6A"/>
    <w:rsid w:val="76CE4308"/>
    <w:rsid w:val="76D11FC2"/>
    <w:rsid w:val="76E2215D"/>
    <w:rsid w:val="76F35801"/>
    <w:rsid w:val="77361B13"/>
    <w:rsid w:val="775D4D49"/>
    <w:rsid w:val="775D8086"/>
    <w:rsid w:val="77642B72"/>
    <w:rsid w:val="776D12B9"/>
    <w:rsid w:val="77EF1EF4"/>
    <w:rsid w:val="77EF6E29"/>
    <w:rsid w:val="77FE92AA"/>
    <w:rsid w:val="78104AA8"/>
    <w:rsid w:val="7826607A"/>
    <w:rsid w:val="78581A7C"/>
    <w:rsid w:val="788851E7"/>
    <w:rsid w:val="789063B7"/>
    <w:rsid w:val="7937549B"/>
    <w:rsid w:val="795DF4E5"/>
    <w:rsid w:val="7970564B"/>
    <w:rsid w:val="79BA1AE6"/>
    <w:rsid w:val="79F7D041"/>
    <w:rsid w:val="7A017138"/>
    <w:rsid w:val="7A0B74A8"/>
    <w:rsid w:val="7A4A15A8"/>
    <w:rsid w:val="7A5C3EEF"/>
    <w:rsid w:val="7AAC0129"/>
    <w:rsid w:val="7AAF3E96"/>
    <w:rsid w:val="7AC027B5"/>
    <w:rsid w:val="7AC70D96"/>
    <w:rsid w:val="7AD714D2"/>
    <w:rsid w:val="7AEA15E0"/>
    <w:rsid w:val="7B633173"/>
    <w:rsid w:val="7B666B09"/>
    <w:rsid w:val="7B783D60"/>
    <w:rsid w:val="7B7D0660"/>
    <w:rsid w:val="7B7F0DEE"/>
    <w:rsid w:val="7B8C46C1"/>
    <w:rsid w:val="7BBB5210"/>
    <w:rsid w:val="7BBF55F4"/>
    <w:rsid w:val="7BD5403F"/>
    <w:rsid w:val="7BDF6DC8"/>
    <w:rsid w:val="7BE6624C"/>
    <w:rsid w:val="7BF2699E"/>
    <w:rsid w:val="7BF81DBE"/>
    <w:rsid w:val="7BF97DAE"/>
    <w:rsid w:val="7BFB7EC5"/>
    <w:rsid w:val="7BFD556C"/>
    <w:rsid w:val="7C0157EA"/>
    <w:rsid w:val="7C3D44E4"/>
    <w:rsid w:val="7C3D6493"/>
    <w:rsid w:val="7C4915FB"/>
    <w:rsid w:val="7C675BF7"/>
    <w:rsid w:val="7CB100B6"/>
    <w:rsid w:val="7CEA517B"/>
    <w:rsid w:val="7D116BB3"/>
    <w:rsid w:val="7D3746FC"/>
    <w:rsid w:val="7D491FE6"/>
    <w:rsid w:val="7D676E06"/>
    <w:rsid w:val="7D7C0ACA"/>
    <w:rsid w:val="7D7E2158"/>
    <w:rsid w:val="7D830955"/>
    <w:rsid w:val="7DA04FD8"/>
    <w:rsid w:val="7DCD1480"/>
    <w:rsid w:val="7DDE8531"/>
    <w:rsid w:val="7DFE15C6"/>
    <w:rsid w:val="7DFE9811"/>
    <w:rsid w:val="7DFFC41A"/>
    <w:rsid w:val="7E9E2E0E"/>
    <w:rsid w:val="7EBF5E78"/>
    <w:rsid w:val="7ECF2164"/>
    <w:rsid w:val="7EF3C9DF"/>
    <w:rsid w:val="7F0D7F93"/>
    <w:rsid w:val="7F2DE0EC"/>
    <w:rsid w:val="7F437511"/>
    <w:rsid w:val="7F621095"/>
    <w:rsid w:val="7F6D9FE2"/>
    <w:rsid w:val="7F6FAA40"/>
    <w:rsid w:val="7F77EFCB"/>
    <w:rsid w:val="7F7ECB20"/>
    <w:rsid w:val="7F7FCBAB"/>
    <w:rsid w:val="7F814C20"/>
    <w:rsid w:val="7F8738A2"/>
    <w:rsid w:val="7F9ACEE7"/>
    <w:rsid w:val="7FB9C7A5"/>
    <w:rsid w:val="7FBFF498"/>
    <w:rsid w:val="7FC2C642"/>
    <w:rsid w:val="7FC6631A"/>
    <w:rsid w:val="7FD20E4A"/>
    <w:rsid w:val="7FDE6562"/>
    <w:rsid w:val="7FDFC3A7"/>
    <w:rsid w:val="7FEB05F9"/>
    <w:rsid w:val="7FEF0535"/>
    <w:rsid w:val="7FF8479F"/>
    <w:rsid w:val="7FFA95DF"/>
    <w:rsid w:val="7FFD1970"/>
    <w:rsid w:val="7FFFAC75"/>
    <w:rsid w:val="7FFFACC2"/>
    <w:rsid w:val="9B7D64FD"/>
    <w:rsid w:val="9D5FFCB7"/>
    <w:rsid w:val="9FF6376D"/>
    <w:rsid w:val="A7EFFBD2"/>
    <w:rsid w:val="A7FB2071"/>
    <w:rsid w:val="AF7BBA22"/>
    <w:rsid w:val="B1DFF292"/>
    <w:rsid w:val="B5EF6E57"/>
    <w:rsid w:val="B5FF79F1"/>
    <w:rsid w:val="B7ADADAF"/>
    <w:rsid w:val="B7C93759"/>
    <w:rsid w:val="B9B679FC"/>
    <w:rsid w:val="BBDE7A7E"/>
    <w:rsid w:val="BBFFA493"/>
    <w:rsid w:val="BD827120"/>
    <w:rsid w:val="BDEFA658"/>
    <w:rsid w:val="BFDFBF86"/>
    <w:rsid w:val="BFE951EB"/>
    <w:rsid w:val="BFFB3DEF"/>
    <w:rsid w:val="C95F9FA3"/>
    <w:rsid w:val="CAA50F30"/>
    <w:rsid w:val="CCDAE440"/>
    <w:rsid w:val="CDEF5D04"/>
    <w:rsid w:val="CEDD652C"/>
    <w:rsid w:val="CFB3E008"/>
    <w:rsid w:val="D576CC57"/>
    <w:rsid w:val="D75F4C67"/>
    <w:rsid w:val="D9CB5F2B"/>
    <w:rsid w:val="DAEB104B"/>
    <w:rsid w:val="DAFED78F"/>
    <w:rsid w:val="DB6D64C9"/>
    <w:rsid w:val="DBFF8868"/>
    <w:rsid w:val="DE533929"/>
    <w:rsid w:val="DEBFCA8A"/>
    <w:rsid w:val="DEEF8D63"/>
    <w:rsid w:val="DF67E57D"/>
    <w:rsid w:val="DFB618FD"/>
    <w:rsid w:val="DFDF194D"/>
    <w:rsid w:val="DFFF813B"/>
    <w:rsid w:val="E5AB0790"/>
    <w:rsid w:val="E5FD2B58"/>
    <w:rsid w:val="E6E626E5"/>
    <w:rsid w:val="E77F3EB8"/>
    <w:rsid w:val="E7BB5C70"/>
    <w:rsid w:val="E8EE603E"/>
    <w:rsid w:val="E9F7DC04"/>
    <w:rsid w:val="EABE8A92"/>
    <w:rsid w:val="EAFDD6DC"/>
    <w:rsid w:val="EBF89645"/>
    <w:rsid w:val="ED3FED30"/>
    <w:rsid w:val="ED777F6D"/>
    <w:rsid w:val="ED9E6A48"/>
    <w:rsid w:val="EF3F22AE"/>
    <w:rsid w:val="EF7F4AE1"/>
    <w:rsid w:val="EFB5C8B5"/>
    <w:rsid w:val="EFCDA03C"/>
    <w:rsid w:val="EFDD7656"/>
    <w:rsid w:val="EFF561EE"/>
    <w:rsid w:val="EFF7ACA1"/>
    <w:rsid w:val="EFFF8457"/>
    <w:rsid w:val="F2EF95E1"/>
    <w:rsid w:val="F2FE85E1"/>
    <w:rsid w:val="F57FE0EC"/>
    <w:rsid w:val="F73ECA03"/>
    <w:rsid w:val="F75754A5"/>
    <w:rsid w:val="F77EA5CA"/>
    <w:rsid w:val="F7AD842D"/>
    <w:rsid w:val="F7DF04B3"/>
    <w:rsid w:val="F7EF1A45"/>
    <w:rsid w:val="F7FE46C1"/>
    <w:rsid w:val="F8163C18"/>
    <w:rsid w:val="F9F92D8A"/>
    <w:rsid w:val="FAF2003B"/>
    <w:rsid w:val="FAF9F976"/>
    <w:rsid w:val="FB3E4BE0"/>
    <w:rsid w:val="FB5DEF94"/>
    <w:rsid w:val="FBF5682E"/>
    <w:rsid w:val="FC3B8347"/>
    <w:rsid w:val="FDDB70AE"/>
    <w:rsid w:val="FDFDB95B"/>
    <w:rsid w:val="FEDF95BC"/>
    <w:rsid w:val="FEFF7E49"/>
    <w:rsid w:val="FF1393D9"/>
    <w:rsid w:val="FF7F095C"/>
    <w:rsid w:val="FF9F2F9A"/>
    <w:rsid w:val="FFAFC992"/>
    <w:rsid w:val="FFBE3599"/>
    <w:rsid w:val="FFBE40FE"/>
    <w:rsid w:val="FFBFAF4D"/>
    <w:rsid w:val="FFCF597D"/>
    <w:rsid w:val="FFDB917F"/>
    <w:rsid w:val="FFDD28BE"/>
    <w:rsid w:val="FFDEA3C3"/>
    <w:rsid w:val="FFDF1BB5"/>
    <w:rsid w:val="FFEB5CAB"/>
    <w:rsid w:val="FFFCCFFD"/>
    <w:rsid w:val="FFFEEF03"/>
    <w:rsid w:val="FFFF2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5"/>
    <w:qFormat/>
    <w:uiPriority w:val="0"/>
    <w:rPr>
      <w:rFonts w:ascii="宋体"/>
      <w:sz w:val="18"/>
      <w:szCs w:val="18"/>
    </w:rPr>
  </w:style>
  <w:style w:type="paragraph" w:styleId="6">
    <w:name w:val="annotation text"/>
    <w:basedOn w:val="1"/>
    <w:link w:val="22"/>
    <w:qFormat/>
    <w:uiPriority w:val="0"/>
    <w:pPr>
      <w:jc w:val="left"/>
    </w:pPr>
  </w:style>
  <w:style w:type="paragraph" w:styleId="7">
    <w:name w:val="toc 3"/>
    <w:basedOn w:val="1"/>
    <w:next w:val="1"/>
    <w:qFormat/>
    <w:uiPriority w:val="0"/>
    <w:pPr>
      <w:ind w:left="840" w:leftChars="400"/>
    </w:p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6"/>
    <w:next w:val="6"/>
    <w:link w:val="23"/>
    <w:qFormat/>
    <w:uiPriority w:val="0"/>
    <w:rPr>
      <w:b/>
      <w:bCs/>
    </w:r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样式2"/>
    <w:basedOn w:val="1"/>
    <w:qFormat/>
    <w:uiPriority w:val="0"/>
    <w:pPr>
      <w:spacing w:line="600" w:lineRule="exact"/>
      <w:ind w:right="-47" w:rightChars="-47" w:firstLine="200" w:firstLineChars="200"/>
      <w:jc w:val="left"/>
    </w:pPr>
    <w:rPr>
      <w:bCs/>
      <w:szCs w:val="28"/>
    </w:rPr>
  </w:style>
  <w:style w:type="paragraph" w:styleId="21">
    <w:name w:val="List Paragraph"/>
    <w:basedOn w:val="1"/>
    <w:qFormat/>
    <w:uiPriority w:val="99"/>
    <w:pPr>
      <w:ind w:firstLine="420" w:firstLineChars="200"/>
    </w:pPr>
  </w:style>
  <w:style w:type="character" w:customStyle="1" w:styleId="22">
    <w:name w:val="批注文字 Char"/>
    <w:basedOn w:val="17"/>
    <w:link w:val="6"/>
    <w:qFormat/>
    <w:uiPriority w:val="0"/>
    <w:rPr>
      <w:rFonts w:ascii="Calibri" w:hAnsi="Calibri"/>
      <w:kern w:val="2"/>
      <w:sz w:val="21"/>
      <w:szCs w:val="24"/>
    </w:rPr>
  </w:style>
  <w:style w:type="character" w:customStyle="1" w:styleId="23">
    <w:name w:val="批注主题 Char"/>
    <w:basedOn w:val="22"/>
    <w:link w:val="15"/>
    <w:qFormat/>
    <w:uiPriority w:val="0"/>
    <w:rPr>
      <w:rFonts w:ascii="Calibri" w:hAnsi="Calibri"/>
      <w:b/>
      <w:bCs/>
      <w:kern w:val="2"/>
      <w:sz w:val="21"/>
      <w:szCs w:val="24"/>
    </w:rPr>
  </w:style>
  <w:style w:type="character" w:customStyle="1" w:styleId="24">
    <w:name w:val="批注框文本 Char"/>
    <w:basedOn w:val="17"/>
    <w:link w:val="8"/>
    <w:qFormat/>
    <w:uiPriority w:val="0"/>
    <w:rPr>
      <w:rFonts w:ascii="Calibri" w:hAnsi="Calibri"/>
      <w:kern w:val="2"/>
      <w:sz w:val="18"/>
      <w:szCs w:val="18"/>
    </w:rPr>
  </w:style>
  <w:style w:type="character" w:customStyle="1" w:styleId="25">
    <w:name w:val="文档结构图 Char"/>
    <w:basedOn w:val="17"/>
    <w:link w:val="5"/>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5363</Words>
  <Characters>5412</Characters>
  <Lines>141</Lines>
  <Paragraphs>39</Paragraphs>
  <TotalTime>138</TotalTime>
  <ScaleCrop>false</ScaleCrop>
  <LinksUpToDate>false</LinksUpToDate>
  <CharactersWithSpaces>5737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2025-12-14T15:40:00Z</dcterms:created>
  <dc:creator>侯利</dc:creator>
  <cp:lastModifiedBy>xmadmin</cp:lastModifiedBy>
  <cp:lastPrinted>2026-02-06T01:42:00Z</cp:lastPrinted>
  <dcterms:modified xsi:type="dcterms:W3CDTF">2026-03-02T16:33:03Z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2688647EB5388E1D29B09E698D748C74</vt:lpwstr>
  </property>
  <property fmtid="{D5CDD505-2E9C-101B-9397-08002B2CF9AE}" pid="4" name="KSOTemplateDocerSaveRecord">
    <vt:lpwstr>eyJoZGlkIjoiYTMxYjA0NjViZGY3Yjk3NGI3ZjQ1OTM1ZDNhNGMyNjEiLCJ1c2VySWQiOiI1ODA5MjA4OTEifQ==</vt:lpwstr>
  </property>
</Properties>
</file>